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573" w:rsidRPr="008B6D85" w:rsidRDefault="00B96573" w:rsidP="00B96573">
      <w:pPr>
        <w:pBdr>
          <w:top w:val="single" w:sz="4" w:space="1" w:color="auto"/>
          <w:left w:val="single" w:sz="4" w:space="4" w:color="auto"/>
          <w:bottom w:val="single" w:sz="4" w:space="6" w:color="auto"/>
          <w:right w:val="single" w:sz="4" w:space="4" w:color="auto"/>
        </w:pBdr>
        <w:jc w:val="center"/>
        <w:rPr>
          <w:rFonts w:ascii="Arial" w:hAnsi="Arial" w:cs="Arial"/>
          <w:b/>
          <w:bCs/>
          <w:sz w:val="36"/>
          <w:szCs w:val="36"/>
        </w:rPr>
      </w:pPr>
      <w:bookmarkStart w:id="0" w:name="_GoBack"/>
      <w:bookmarkEnd w:id="0"/>
      <w:r w:rsidRPr="008B6D85">
        <w:rPr>
          <w:rFonts w:ascii="Arial" w:hAnsi="Arial" w:cs="Arial"/>
          <w:b/>
          <w:bCs/>
          <w:sz w:val="36"/>
          <w:szCs w:val="36"/>
        </w:rPr>
        <w:t xml:space="preserve">MINIGUIDE </w:t>
      </w:r>
    </w:p>
    <w:p w:rsidR="00B96573" w:rsidRPr="008B6D85" w:rsidRDefault="00B96573" w:rsidP="00B96573">
      <w:pPr>
        <w:pBdr>
          <w:top w:val="single" w:sz="4" w:space="1" w:color="auto"/>
          <w:left w:val="single" w:sz="4" w:space="4" w:color="auto"/>
          <w:bottom w:val="single" w:sz="4" w:space="6" w:color="auto"/>
          <w:right w:val="single" w:sz="4" w:space="4" w:color="auto"/>
        </w:pBdr>
        <w:jc w:val="center"/>
        <w:rPr>
          <w:rFonts w:ascii="Arial" w:hAnsi="Arial" w:cs="Arial"/>
          <w:b/>
          <w:bCs/>
          <w:sz w:val="32"/>
          <w:szCs w:val="32"/>
        </w:rPr>
      </w:pPr>
    </w:p>
    <w:p w:rsidR="00B96573" w:rsidRPr="008B6D85" w:rsidRDefault="00B96573" w:rsidP="00B96573">
      <w:pPr>
        <w:pBdr>
          <w:top w:val="single" w:sz="4" w:space="1" w:color="auto"/>
          <w:left w:val="single" w:sz="4" w:space="4" w:color="auto"/>
          <w:bottom w:val="single" w:sz="4" w:space="6" w:color="auto"/>
          <w:right w:val="single" w:sz="4" w:space="4" w:color="auto"/>
        </w:pBdr>
        <w:jc w:val="center"/>
        <w:rPr>
          <w:rFonts w:ascii="Arial" w:hAnsi="Arial" w:cs="Arial"/>
          <w:b/>
          <w:bCs/>
        </w:rPr>
      </w:pPr>
      <w:r w:rsidRPr="008B6D85">
        <w:rPr>
          <w:rFonts w:ascii="Arial" w:hAnsi="Arial" w:cs="Arial"/>
          <w:b/>
          <w:bCs/>
        </w:rPr>
        <w:t>FOR</w:t>
      </w:r>
    </w:p>
    <w:p w:rsidR="00B96573" w:rsidRPr="008B6D85" w:rsidRDefault="00B96573" w:rsidP="00B96573">
      <w:pPr>
        <w:pBdr>
          <w:top w:val="single" w:sz="4" w:space="1" w:color="auto"/>
          <w:left w:val="single" w:sz="4" w:space="4" w:color="auto"/>
          <w:bottom w:val="single" w:sz="4" w:space="6" w:color="auto"/>
          <w:right w:val="single" w:sz="4" w:space="4" w:color="auto"/>
        </w:pBdr>
        <w:jc w:val="center"/>
        <w:rPr>
          <w:rFonts w:ascii="Arial" w:hAnsi="Arial" w:cs="Arial"/>
          <w:b/>
          <w:bCs/>
        </w:rPr>
      </w:pPr>
    </w:p>
    <w:p w:rsidR="00B96573" w:rsidRPr="008B6D85" w:rsidRDefault="00B96573" w:rsidP="00B96573">
      <w:pPr>
        <w:pBdr>
          <w:top w:val="single" w:sz="4" w:space="1" w:color="auto"/>
          <w:left w:val="single" w:sz="4" w:space="4" w:color="auto"/>
          <w:bottom w:val="single" w:sz="4" w:space="6" w:color="auto"/>
          <w:right w:val="single" w:sz="4" w:space="4" w:color="auto"/>
        </w:pBdr>
        <w:jc w:val="center"/>
        <w:rPr>
          <w:rFonts w:ascii="Arial" w:hAnsi="Arial" w:cs="Arial"/>
          <w:b/>
          <w:bCs/>
        </w:rPr>
      </w:pPr>
      <w:r w:rsidRPr="008B6D85">
        <w:rPr>
          <w:rFonts w:ascii="Arial" w:hAnsi="Arial" w:cs="Arial"/>
          <w:b/>
          <w:bCs/>
        </w:rPr>
        <w:t>TILSLUTNINGSAVTALER</w:t>
      </w:r>
    </w:p>
    <w:p w:rsidR="00B96573" w:rsidRPr="008B6D85" w:rsidRDefault="00B96573" w:rsidP="00B96573">
      <w:pPr>
        <w:pBdr>
          <w:top w:val="single" w:sz="4" w:space="1" w:color="auto"/>
          <w:left w:val="single" w:sz="4" w:space="4" w:color="auto"/>
          <w:bottom w:val="single" w:sz="4" w:space="6" w:color="auto"/>
          <w:right w:val="single" w:sz="4" w:space="4" w:color="auto"/>
        </w:pBdr>
        <w:jc w:val="center"/>
        <w:rPr>
          <w:rFonts w:ascii="Arial" w:hAnsi="Arial" w:cs="Arial"/>
          <w:b/>
          <w:bCs/>
        </w:rPr>
      </w:pPr>
      <w:r w:rsidRPr="008B6D85">
        <w:rPr>
          <w:rFonts w:ascii="Arial" w:hAnsi="Arial" w:cs="Arial"/>
          <w:b/>
          <w:bCs/>
        </w:rPr>
        <w:t xml:space="preserve">KRYSNINGSAVTALER FOR RØRLEDNINGER </w:t>
      </w:r>
    </w:p>
    <w:p w:rsidR="00B96573" w:rsidRPr="008B6D85" w:rsidRDefault="00B96573" w:rsidP="00B96573">
      <w:pPr>
        <w:pBdr>
          <w:top w:val="single" w:sz="4" w:space="1" w:color="auto"/>
          <w:left w:val="single" w:sz="4" w:space="4" w:color="auto"/>
          <w:bottom w:val="single" w:sz="4" w:space="6" w:color="auto"/>
          <w:right w:val="single" w:sz="4" w:space="4" w:color="auto"/>
        </w:pBdr>
        <w:jc w:val="center"/>
        <w:rPr>
          <w:rFonts w:ascii="Arial" w:hAnsi="Arial" w:cs="Arial"/>
          <w:b/>
          <w:bCs/>
        </w:rPr>
      </w:pPr>
    </w:p>
    <w:p w:rsidR="00B96573" w:rsidRPr="008B6D85" w:rsidRDefault="00B96573" w:rsidP="00B96573">
      <w:pPr>
        <w:rPr>
          <w:rFonts w:ascii="Arial" w:hAnsi="Arial" w:cs="Arial"/>
        </w:rPr>
      </w:pPr>
    </w:p>
    <w:p w:rsidR="00B96573" w:rsidRPr="008B6D85" w:rsidRDefault="00B96573" w:rsidP="00B96573">
      <w:pPr>
        <w:rPr>
          <w:rFonts w:ascii="Arial" w:hAnsi="Arial" w:cs="Arial"/>
        </w:rPr>
      </w:pPr>
    </w:p>
    <w:p w:rsidR="00B96573" w:rsidRPr="008B6D85" w:rsidRDefault="00B96573" w:rsidP="00B96573">
      <w:pPr>
        <w:rPr>
          <w:rFonts w:ascii="Arial" w:hAnsi="Arial" w:cs="Arial"/>
        </w:rPr>
      </w:pPr>
    </w:p>
    <w:p w:rsidR="00B96573" w:rsidRPr="008B6D85" w:rsidRDefault="00B96573" w:rsidP="00B96573">
      <w:pPr>
        <w:pStyle w:val="Listeavsnitt"/>
        <w:numPr>
          <w:ilvl w:val="0"/>
          <w:numId w:val="1"/>
        </w:numPr>
        <w:rPr>
          <w:b/>
        </w:rPr>
      </w:pPr>
      <w:r w:rsidRPr="008B6D85">
        <w:rPr>
          <w:b/>
        </w:rPr>
        <w:t xml:space="preserve">Innledning </w:t>
      </w:r>
    </w:p>
    <w:p w:rsidR="00B96573" w:rsidRPr="008B6D85" w:rsidRDefault="00B96573" w:rsidP="00B96573">
      <w:pPr>
        <w:rPr>
          <w:b/>
        </w:rPr>
      </w:pPr>
    </w:p>
    <w:p w:rsidR="00B96573" w:rsidRPr="008B6D85" w:rsidRDefault="00B96573" w:rsidP="00B96573">
      <w:r w:rsidRPr="008B6D85">
        <w:t xml:space="preserve">Denne veiledningen beskriver prosessen knyttet til inngåelse av tilslutningsavtaler og krysningsavtaler for rørledninger basert på avtalemalen som finnes i de godkjente Anbefalte retningslinjer for bruk av standardavtaler fra Norsk olje og gass.  </w:t>
      </w:r>
    </w:p>
    <w:p w:rsidR="00B96573" w:rsidRPr="008B6D85" w:rsidRDefault="00B96573" w:rsidP="00B96573"/>
    <w:p w:rsidR="00B96573" w:rsidRPr="008B6D85" w:rsidRDefault="00B96573" w:rsidP="00B96573">
      <w:r w:rsidRPr="008B6D85">
        <w:t xml:space="preserve">Denne veiledningen er rettet til personell som håndterer operasjoner som krever at det inngås tilslutningsavtaler og krysningsavtaler for rørledninger, og den sikter mot å gi en oppsummering og en trinnvis beskrivelse av fremgangsmåten når behovet for slik(e) avtale(r) påvises. Formålet er å gjøre det relevante personellet i stand til å håndtere denne prosessen på en forsvarlig og tidsbesparende måte. </w:t>
      </w:r>
    </w:p>
    <w:p w:rsidR="00B96573" w:rsidRPr="008B6D85" w:rsidRDefault="00B96573" w:rsidP="00B96573"/>
    <w:p w:rsidR="00B96573" w:rsidRPr="008B6D85" w:rsidRDefault="00B96573" w:rsidP="00B96573">
      <w:r w:rsidRPr="008B6D85">
        <w:t xml:space="preserve">Denne veiledningen inneholder to atskilte deler, der A beskriver prosessene knyttet til tilslutningsavtaler og del B beskriver prosessene knyttet til krysningsavtaler for rørledninger. </w:t>
      </w:r>
    </w:p>
    <w:p w:rsidR="00B96573" w:rsidRPr="008B6D85" w:rsidRDefault="00B96573" w:rsidP="00B96573"/>
    <w:p w:rsidR="00B96573" w:rsidRPr="008B6D85" w:rsidRDefault="00B96573" w:rsidP="00B96573">
      <w:pPr>
        <w:spacing w:after="200" w:line="276" w:lineRule="auto"/>
      </w:pPr>
      <w:r w:rsidRPr="008B6D85">
        <w:lastRenderedPageBreak/>
        <w:t xml:space="preserve">Bemerk at denne veiledningen kun er ment som et praktisk verktøy, og den gir ingen juridisk vurdering av avtalene eller rammen for å inngå disse avtalene. </w:t>
      </w:r>
      <w:r w:rsidRPr="008B6D85">
        <w:br w:type="page"/>
      </w:r>
    </w:p>
    <w:p w:rsidR="00B96573" w:rsidRPr="008B6D85" w:rsidRDefault="00B96573" w:rsidP="00B96573">
      <w:pPr>
        <w:rPr>
          <w:b/>
        </w:rPr>
      </w:pPr>
      <w:r w:rsidRPr="008B6D85">
        <w:rPr>
          <w:b/>
        </w:rPr>
        <w:lastRenderedPageBreak/>
        <w:t>DEL A</w:t>
      </w:r>
      <w:r w:rsidRPr="008B6D85">
        <w:rPr>
          <w:b/>
        </w:rPr>
        <w:tab/>
      </w:r>
      <w:r w:rsidRPr="008B6D85">
        <w:rPr>
          <w:b/>
        </w:rPr>
        <w:tab/>
        <w:t>TILSLUTNINGSAVTALER (PROXIMITY AGREEMENTS – PA)</w:t>
      </w:r>
    </w:p>
    <w:p w:rsidR="00B96573" w:rsidRPr="008B6D85" w:rsidRDefault="00B96573" w:rsidP="00B96573"/>
    <w:p w:rsidR="00B96573" w:rsidRPr="008B6D85" w:rsidRDefault="00B96573" w:rsidP="00B96573"/>
    <w:p w:rsidR="00B96573" w:rsidRPr="008B6D85" w:rsidRDefault="00B96573" w:rsidP="00B96573">
      <w:pPr>
        <w:rPr>
          <w:b/>
        </w:rPr>
      </w:pPr>
      <w:r w:rsidRPr="008B6D85">
        <w:rPr>
          <w:b/>
        </w:rPr>
        <w:t>Innledende kommentarer</w:t>
      </w:r>
    </w:p>
    <w:p w:rsidR="00B96573" w:rsidRPr="008B6D85" w:rsidRDefault="00B96573" w:rsidP="00B96573"/>
    <w:p w:rsidR="00B96573" w:rsidRPr="008B6D85" w:rsidRDefault="00B96573" w:rsidP="00B96573">
      <w:pPr>
        <w:pStyle w:val="Default"/>
        <w:rPr>
          <w:lang w:val="nb-NO"/>
        </w:rPr>
      </w:pPr>
      <w:r w:rsidRPr="008B6D85">
        <w:rPr>
          <w:lang w:val="nb-NO"/>
        </w:rPr>
        <w:t>Merknadene nedenfor bygger på tilslutningsavtalen ("PA") inkludert i Norsk olje og gass' Anbefalte retningslinjer for bruk av standardavtaler.</w:t>
      </w:r>
    </w:p>
    <w:p w:rsidR="00B96573" w:rsidRPr="008B6D85" w:rsidRDefault="00B96573" w:rsidP="00B96573">
      <w:pPr>
        <w:pStyle w:val="Default"/>
        <w:rPr>
          <w:lang w:val="nb-NO"/>
        </w:rPr>
      </w:pPr>
    </w:p>
    <w:p w:rsidR="00B96573" w:rsidRPr="008B6D85" w:rsidRDefault="00B96573" w:rsidP="00B96573">
      <w:pPr>
        <w:pStyle w:val="Default"/>
        <w:rPr>
          <w:lang w:val="nb-NO"/>
        </w:rPr>
      </w:pPr>
      <w:r w:rsidRPr="008B6D85">
        <w:rPr>
          <w:lang w:val="nb-NO"/>
        </w:rPr>
        <w:t xml:space="preserve">En PA skal inngås når en rørledning legges i umiddelbar nærhet av en allerede eksisterende rørledning eller innretning uten faktisk å krysse den eksisterende rørledningen, og uten å bli fysisk knyttet til den eksisterende innretningen på noe punkt. Når en rørledning fysisk krysser en annen rørledning, bør krysningsavtalen for rørledninger benyttes (se del B). </w:t>
      </w:r>
    </w:p>
    <w:p w:rsidR="00B96573" w:rsidRPr="008B6D85" w:rsidRDefault="00B96573" w:rsidP="00B96573"/>
    <w:p w:rsidR="00B96573" w:rsidRPr="008B6D85" w:rsidRDefault="00B96573" w:rsidP="00B96573">
      <w:r w:rsidRPr="008B6D85">
        <w:t>En standard PA gjelder for rørledninger, men kan like gjerne benyttes under andre omstendigheter, som f.eks. når en slange eller kabel legges i umiddelbar nærhet av en allerede eksisterende rørledning/innretning uten faktisk å krysse/berøre denne på noe punkt. En PA kan også brukes for andre operasjoner som utføres i nærheten av en eksisterende rørledning/innretning, f.eks. når en rigg eller et fartøy forankres til havbunnen.</w:t>
      </w:r>
    </w:p>
    <w:p w:rsidR="00B96573" w:rsidRPr="008B6D85" w:rsidRDefault="00B96573" w:rsidP="00B96573"/>
    <w:p w:rsidR="00B96573" w:rsidRPr="008B6D85" w:rsidRDefault="00B96573" w:rsidP="00B96573">
      <w:r w:rsidRPr="008B6D85">
        <w:t>Dersom PAen skal brukes i andre situasjoner (dvs. bortsett fra når en rørledning skal legges i nærheten av en annen rørledning), må definisjonene i PAen endres etter hva som er hensiktsmessig.</w:t>
      </w:r>
    </w:p>
    <w:p w:rsidR="00B96573" w:rsidRPr="008B6D85" w:rsidRDefault="00B96573" w:rsidP="00B96573"/>
    <w:p w:rsidR="00B96573" w:rsidRPr="008B6D85" w:rsidRDefault="00B96573" w:rsidP="00B96573"/>
    <w:tbl>
      <w:tblPr>
        <w:tblStyle w:val="Tabellrutenett"/>
        <w:tblW w:w="0" w:type="auto"/>
        <w:tblLook w:val="04A0" w:firstRow="1" w:lastRow="0" w:firstColumn="1" w:lastColumn="0" w:noHBand="0" w:noVBand="1"/>
      </w:tblPr>
      <w:tblGrid>
        <w:gridCol w:w="675"/>
        <w:gridCol w:w="2410"/>
        <w:gridCol w:w="6615"/>
      </w:tblGrid>
      <w:tr w:rsidR="00B96573" w:rsidRPr="008B6D85" w:rsidTr="006D0BBB">
        <w:tc>
          <w:tcPr>
            <w:tcW w:w="675" w:type="dxa"/>
            <w:shd w:val="clear" w:color="auto" w:fill="8DB3E2" w:themeFill="text2" w:themeFillTint="66"/>
          </w:tcPr>
          <w:p w:rsidR="00B96573" w:rsidRPr="008B6D85" w:rsidRDefault="00B96573" w:rsidP="006D0BBB">
            <w:pPr>
              <w:rPr>
                <w:b/>
              </w:rPr>
            </w:pPr>
          </w:p>
        </w:tc>
        <w:tc>
          <w:tcPr>
            <w:tcW w:w="2410" w:type="dxa"/>
            <w:shd w:val="clear" w:color="auto" w:fill="8DB3E2" w:themeFill="text2" w:themeFillTint="66"/>
          </w:tcPr>
          <w:p w:rsidR="00B96573" w:rsidRPr="008B6D85" w:rsidRDefault="00B96573" w:rsidP="006D0BBB">
            <w:pPr>
              <w:rPr>
                <w:b/>
              </w:rPr>
            </w:pPr>
            <w:r w:rsidRPr="008B6D85">
              <w:rPr>
                <w:b/>
              </w:rPr>
              <w:t>Fase/situasjon</w:t>
            </w:r>
          </w:p>
        </w:tc>
        <w:tc>
          <w:tcPr>
            <w:tcW w:w="6615" w:type="dxa"/>
            <w:shd w:val="clear" w:color="auto" w:fill="8DB3E2" w:themeFill="text2" w:themeFillTint="66"/>
          </w:tcPr>
          <w:p w:rsidR="00B96573" w:rsidRPr="008B6D85" w:rsidRDefault="00B96573" w:rsidP="006D0BBB">
            <w:pPr>
              <w:rPr>
                <w:b/>
              </w:rPr>
            </w:pPr>
            <w:r w:rsidRPr="008B6D85">
              <w:rPr>
                <w:b/>
              </w:rPr>
              <w:t>Merknader/tiltak (beste praksis)</w:t>
            </w:r>
          </w:p>
        </w:tc>
      </w:tr>
      <w:tr w:rsidR="00B96573" w:rsidRPr="008B6D85" w:rsidTr="006D0BBB">
        <w:tc>
          <w:tcPr>
            <w:tcW w:w="675" w:type="dxa"/>
            <w:tcBorders>
              <w:bottom w:val="single" w:sz="4" w:space="0" w:color="auto"/>
            </w:tcBorders>
          </w:tcPr>
          <w:p w:rsidR="00B96573" w:rsidRPr="008B6D85" w:rsidRDefault="00B96573" w:rsidP="006D0BBB">
            <w:r w:rsidRPr="008B6D85">
              <w:t>1</w:t>
            </w:r>
          </w:p>
        </w:tc>
        <w:tc>
          <w:tcPr>
            <w:tcW w:w="2410" w:type="dxa"/>
            <w:tcBorders>
              <w:bottom w:val="single" w:sz="4" w:space="0" w:color="auto"/>
            </w:tcBorders>
          </w:tcPr>
          <w:p w:rsidR="00B96573" w:rsidRPr="008B6D85" w:rsidRDefault="00B96573" w:rsidP="006D0BBB">
            <w:r w:rsidRPr="008B6D85">
              <w:t xml:space="preserve">Når er det påkrevd med en PA? </w:t>
            </w:r>
          </w:p>
        </w:tc>
        <w:tc>
          <w:tcPr>
            <w:tcW w:w="6615" w:type="dxa"/>
            <w:tcBorders>
              <w:bottom w:val="single" w:sz="4" w:space="0" w:color="auto"/>
            </w:tcBorders>
          </w:tcPr>
          <w:p w:rsidR="00B96573" w:rsidRPr="008B6D85" w:rsidRDefault="00B96573" w:rsidP="006D0BBB">
            <w:r w:rsidRPr="008B6D85">
              <w:t xml:space="preserve">PAen utarbeides for å omfatte operasjoner som utføres mindre enn 2 nautiske mil fra den allerede eksisterende rørledningen/innretningen. </w:t>
            </w:r>
          </w:p>
          <w:p w:rsidR="00B96573" w:rsidRPr="008B6D85" w:rsidRDefault="00B96573" w:rsidP="006D0BBB"/>
          <w:p w:rsidR="00B96573" w:rsidRPr="008B6D85" w:rsidRDefault="00B96573" w:rsidP="006D0BBB">
            <w:r w:rsidRPr="008B6D85">
              <w:lastRenderedPageBreak/>
              <w:t xml:space="preserve">PA STC artikkel 2.1: </w:t>
            </w:r>
          </w:p>
          <w:p w:rsidR="00B96573" w:rsidRPr="008B6D85" w:rsidRDefault="00B96573" w:rsidP="006D0BBB">
            <w:pPr>
              <w:rPr>
                <w:sz w:val="20"/>
                <w:szCs w:val="20"/>
              </w:rPr>
            </w:pPr>
            <w:r w:rsidRPr="008B6D85">
              <w:rPr>
                <w:sz w:val="20"/>
                <w:szCs w:val="20"/>
              </w:rPr>
              <w:t>“</w:t>
            </w:r>
            <w:r w:rsidRPr="008B6D85">
              <w:rPr>
                <w:i/>
                <w:iCs/>
                <w:sz w:val="20"/>
                <w:szCs w:val="20"/>
              </w:rPr>
              <w:t>Den berørte parten samtykker i at den utførende parten kan utføre tilslutningsoperasjonen i tilslutningsområdet på de vilkårene og betingelsene som er fastsatt i denne avtalen.</w:t>
            </w:r>
            <w:r w:rsidRPr="008B6D85">
              <w:rPr>
                <w:sz w:val="20"/>
                <w:szCs w:val="20"/>
              </w:rPr>
              <w:t>”</w:t>
            </w:r>
          </w:p>
          <w:p w:rsidR="00B96573" w:rsidRPr="008B6D85" w:rsidRDefault="00B96573" w:rsidP="006D0BBB"/>
          <w:p w:rsidR="00B96573" w:rsidRPr="008B6D85" w:rsidRDefault="00B96573" w:rsidP="006D0BBB">
            <w:r w:rsidRPr="008B6D85">
              <w:t xml:space="preserve">PA STC-definisjon av tilslutningsområde: </w:t>
            </w:r>
            <w:r w:rsidRPr="008B6D85">
              <w:rPr>
                <w:i/>
                <w:iCs/>
                <w:sz w:val="20"/>
                <w:szCs w:val="20"/>
              </w:rPr>
              <w:t>“Tilslutningsområde” betyr området innenfor en radius på to (2) nautiske mil fra tilslutningspunktet/-punktene, samt eventuelle områder der tilslutningsoperasjonen utføres nærmere den berørte rørledningen enn to (2) nautiske mil”.</w:t>
            </w:r>
          </w:p>
          <w:p w:rsidR="00B96573" w:rsidRPr="008B6D85" w:rsidRDefault="00B96573" w:rsidP="006D0BBB"/>
        </w:tc>
      </w:tr>
      <w:tr w:rsidR="00B96573" w:rsidRPr="008B6D85" w:rsidTr="006D0BBB">
        <w:tc>
          <w:tcPr>
            <w:tcW w:w="675" w:type="dxa"/>
            <w:shd w:val="clear" w:color="auto" w:fill="C6D9F1" w:themeFill="text2" w:themeFillTint="33"/>
          </w:tcPr>
          <w:p w:rsidR="00B96573" w:rsidRPr="008B6D85" w:rsidRDefault="00B96573" w:rsidP="006D0BBB">
            <w:r w:rsidRPr="008B6D85">
              <w:lastRenderedPageBreak/>
              <w:t>2</w:t>
            </w:r>
          </w:p>
        </w:tc>
        <w:tc>
          <w:tcPr>
            <w:tcW w:w="2410" w:type="dxa"/>
            <w:shd w:val="clear" w:color="auto" w:fill="C6D9F1" w:themeFill="text2" w:themeFillTint="33"/>
          </w:tcPr>
          <w:p w:rsidR="00B96573" w:rsidRPr="008B6D85" w:rsidRDefault="00B96573" w:rsidP="006D0BBB">
            <w:pPr>
              <w:rPr>
                <w:b/>
              </w:rPr>
            </w:pPr>
            <w:r w:rsidRPr="008B6D85">
              <w:rPr>
                <w:b/>
              </w:rPr>
              <w:t>Oppstartsfase</w:t>
            </w:r>
          </w:p>
        </w:tc>
        <w:tc>
          <w:tcPr>
            <w:tcW w:w="6615" w:type="dxa"/>
            <w:shd w:val="clear" w:color="auto" w:fill="C6D9F1" w:themeFill="text2" w:themeFillTint="33"/>
          </w:tcPr>
          <w:p w:rsidR="00B96573" w:rsidRPr="008B6D85" w:rsidRDefault="00B96573" w:rsidP="006D0BBB"/>
        </w:tc>
      </w:tr>
      <w:tr w:rsidR="00B96573" w:rsidRPr="008B6D85" w:rsidTr="006D0BBB">
        <w:tc>
          <w:tcPr>
            <w:tcW w:w="675" w:type="dxa"/>
          </w:tcPr>
          <w:p w:rsidR="00B96573" w:rsidRPr="008B6D85" w:rsidRDefault="00B96573" w:rsidP="006D0BBB">
            <w:r w:rsidRPr="008B6D85">
              <w:t>2 A</w:t>
            </w:r>
          </w:p>
        </w:tc>
        <w:tc>
          <w:tcPr>
            <w:tcW w:w="2410" w:type="dxa"/>
          </w:tcPr>
          <w:p w:rsidR="00B96573" w:rsidRPr="008B6D85" w:rsidRDefault="00B96573" w:rsidP="006D0BBB">
            <w:pPr>
              <w:rPr>
                <w:b/>
              </w:rPr>
            </w:pPr>
            <w:r w:rsidRPr="008B6D85">
              <w:rPr>
                <w:u w:val="single"/>
              </w:rPr>
              <w:t>Selskapet ditt</w:t>
            </w:r>
            <w:r w:rsidRPr="008B6D85">
              <w:t xml:space="preserve"> planlegger å utføre operasjoner i nærheten av en tredjeparts rørledning/innretning.</w:t>
            </w:r>
          </w:p>
        </w:tc>
        <w:tc>
          <w:tcPr>
            <w:tcW w:w="6615" w:type="dxa"/>
          </w:tcPr>
          <w:p w:rsidR="00B96573" w:rsidRPr="008B6D85" w:rsidRDefault="00B96573" w:rsidP="006D0BBB">
            <w:r w:rsidRPr="008B6D85">
              <w:t xml:space="preserve">Anbefalte tiltak: </w:t>
            </w:r>
          </w:p>
          <w:p w:rsidR="00B96573" w:rsidRPr="008B6D85" w:rsidRDefault="00B96573" w:rsidP="006D0BBB"/>
          <w:p w:rsidR="00B96573" w:rsidRPr="008B6D85" w:rsidRDefault="00B96573" w:rsidP="006D0BBB">
            <w:r w:rsidRPr="008B6D85">
              <w:t xml:space="preserve">I god tid før den planlagte gjennomføringsdatoen for operasjonen må det opprettes kontakt med operatøren av den eksisterende rørledningen/innretningen for å planlegge en slik operasjon og utarbeide den nødvendige PAen. </w:t>
            </w:r>
          </w:p>
          <w:p w:rsidR="00B96573" w:rsidRPr="008B6D85" w:rsidRDefault="00B96573" w:rsidP="006D0BBB"/>
          <w:p w:rsidR="00B96573" w:rsidRPr="008B6D85" w:rsidRDefault="00B96573" w:rsidP="006D0BBB">
            <w:r w:rsidRPr="008B6D85">
              <w:t xml:space="preserve">På grunn av muligheten for annen marin aktivitet, bør kontakten med den berørte parten opprettes så snart som praktisk mulig. </w:t>
            </w:r>
          </w:p>
          <w:p w:rsidR="00B96573" w:rsidRPr="008B6D85" w:rsidRDefault="00B96573" w:rsidP="006D0BBB"/>
          <w:p w:rsidR="00B96573" w:rsidRPr="008B6D85" w:rsidRDefault="00B96573" w:rsidP="006D0BBB">
            <w:r w:rsidRPr="008B6D85">
              <w:t xml:space="preserve">Foreslå at standard PA brukes, og legge ved, på e-post, et utkast til PA til en identifisert kontaktperson hos tredjeparten. Utkastet til PAen bør utformes i henhold til punkt 3 nedenfor.  </w:t>
            </w:r>
          </w:p>
          <w:p w:rsidR="00B96573" w:rsidRPr="008B6D85" w:rsidRDefault="00B96573" w:rsidP="006D0BBB"/>
          <w:p w:rsidR="00B96573" w:rsidRPr="008B6D85" w:rsidRDefault="00B96573" w:rsidP="006D0BBB">
            <w:r w:rsidRPr="008B6D85">
              <w:t xml:space="preserve">Før utkastet til PA sendes til den berørte parten, bør relevant personell i ditt selskap og/eller lisensen bli informert. </w:t>
            </w:r>
          </w:p>
          <w:p w:rsidR="00B96573" w:rsidRPr="008B6D85" w:rsidRDefault="00B96573" w:rsidP="006D0BBB"/>
        </w:tc>
      </w:tr>
      <w:tr w:rsidR="00B96573" w:rsidRPr="008B6D85" w:rsidTr="006D0BBB">
        <w:tc>
          <w:tcPr>
            <w:tcW w:w="675" w:type="dxa"/>
            <w:tcBorders>
              <w:bottom w:val="single" w:sz="4" w:space="0" w:color="auto"/>
            </w:tcBorders>
          </w:tcPr>
          <w:p w:rsidR="00B96573" w:rsidRPr="008B6D85" w:rsidRDefault="00B96573" w:rsidP="006D0BBB">
            <w:r w:rsidRPr="008B6D85">
              <w:t>2 B</w:t>
            </w:r>
          </w:p>
        </w:tc>
        <w:tc>
          <w:tcPr>
            <w:tcW w:w="2410" w:type="dxa"/>
            <w:tcBorders>
              <w:bottom w:val="single" w:sz="4" w:space="0" w:color="auto"/>
            </w:tcBorders>
          </w:tcPr>
          <w:p w:rsidR="00B96573" w:rsidRPr="008B6D85" w:rsidRDefault="00B96573" w:rsidP="006D0BBB">
            <w:pPr>
              <w:rPr>
                <w:b/>
              </w:rPr>
            </w:pPr>
            <w:r w:rsidRPr="008B6D85">
              <w:rPr>
                <w:u w:val="single"/>
              </w:rPr>
              <w:t>En tredjepart</w:t>
            </w:r>
            <w:r w:rsidRPr="008B6D85">
              <w:t xml:space="preserve"> ber om godkjenning fra ditt selskap/lisensen til å utføre operasjoner i nærheten av en rørledning/innretning som du driver/eier.</w:t>
            </w:r>
          </w:p>
        </w:tc>
        <w:tc>
          <w:tcPr>
            <w:tcW w:w="6615" w:type="dxa"/>
            <w:tcBorders>
              <w:bottom w:val="single" w:sz="4" w:space="0" w:color="auto"/>
            </w:tcBorders>
          </w:tcPr>
          <w:p w:rsidR="00B96573" w:rsidRPr="008B6D85" w:rsidRDefault="00B96573" w:rsidP="006D0BBB">
            <w:r w:rsidRPr="008B6D85">
              <w:t xml:space="preserve">Anbefalte tiltak: </w:t>
            </w:r>
          </w:p>
          <w:p w:rsidR="00B96573" w:rsidRPr="008B6D85" w:rsidRDefault="00B96573" w:rsidP="006D0BBB"/>
          <w:p w:rsidR="00B96573" w:rsidRPr="008B6D85" w:rsidRDefault="00B96573" w:rsidP="006D0BBB">
            <w:r w:rsidRPr="008B6D85">
              <w:t xml:space="preserve">Vurder om den operasjonen som foreslås og anmodes om, er akseptabel for ditt selskap/lisensen. </w:t>
            </w:r>
          </w:p>
          <w:p w:rsidR="00B96573" w:rsidRPr="008B6D85" w:rsidRDefault="00B96573" w:rsidP="006D0BBB"/>
          <w:p w:rsidR="00B96573" w:rsidRPr="008B6D85" w:rsidRDefault="00B96573" w:rsidP="006D0BBB">
            <w:r w:rsidRPr="008B6D85">
              <w:t xml:space="preserve">Dersom det identifiseres mulige kommersielle problemer eller HMS-problemer i tilknytning til tilslutningsoperasjonen, ta kontakt med relevant personell (inkludert juridisk personell om nødvendig) for å vurdere om problemene er av en slik art at de gir ditt selskap/lisensen rett til å avslå en slik operasjon, eller om ditt selskaps/lisensens problemer kan løses gjennom avtalte utbedringstiltak. Relevante regelverk i forbindelse med denne </w:t>
            </w:r>
            <w:r w:rsidRPr="008B6D85">
              <w:lastRenderedPageBreak/>
              <w:t>vurderingen er petroleumsloven § 3-12 og rammeforskriften § 47.</w:t>
            </w:r>
          </w:p>
          <w:p w:rsidR="00B96573" w:rsidRPr="008B6D85" w:rsidRDefault="00B96573" w:rsidP="006D0BBB"/>
          <w:p w:rsidR="00B96573" w:rsidRPr="008B6D85" w:rsidRDefault="00B96573" w:rsidP="006D0BBB">
            <w:r w:rsidRPr="008B6D85">
              <w:t>Dersom tilslutningsoperasjonen anses som akseptabel, bør ditt selskap/lisensen foreslå at standard PA brukes. Når utkastet mottas fra tredjeparten, bør det vurderes i henhold til punkt 3 nedenfor.</w:t>
            </w:r>
          </w:p>
          <w:p w:rsidR="00B96573" w:rsidRPr="008B6D85" w:rsidRDefault="00B96573" w:rsidP="006D0BBB"/>
          <w:p w:rsidR="00B96573" w:rsidRPr="008B6D85" w:rsidRDefault="00B96573" w:rsidP="006D0BBB">
            <w:r w:rsidRPr="008B6D85">
              <w:t>Relevant personell i ditt selskap/lisensen bør informeres om anmodningen fra tredjeparten.</w:t>
            </w:r>
          </w:p>
        </w:tc>
      </w:tr>
      <w:tr w:rsidR="00B96573" w:rsidRPr="008B6D85" w:rsidTr="006D0BBB">
        <w:tc>
          <w:tcPr>
            <w:tcW w:w="675" w:type="dxa"/>
            <w:shd w:val="clear" w:color="auto" w:fill="C6D9F1" w:themeFill="text2" w:themeFillTint="33"/>
          </w:tcPr>
          <w:p w:rsidR="00B96573" w:rsidRPr="008B6D85" w:rsidRDefault="00B96573" w:rsidP="006D0BBB">
            <w:r w:rsidRPr="008B6D85">
              <w:lastRenderedPageBreak/>
              <w:t>3</w:t>
            </w:r>
          </w:p>
        </w:tc>
        <w:tc>
          <w:tcPr>
            <w:tcW w:w="2410" w:type="dxa"/>
            <w:shd w:val="clear" w:color="auto" w:fill="C6D9F1" w:themeFill="text2" w:themeFillTint="33"/>
          </w:tcPr>
          <w:p w:rsidR="00B96573" w:rsidRPr="008B6D85" w:rsidRDefault="00B96573" w:rsidP="006D0BBB">
            <w:pPr>
              <w:rPr>
                <w:b/>
              </w:rPr>
            </w:pPr>
            <w:r w:rsidRPr="008B6D85">
              <w:rPr>
                <w:b/>
              </w:rPr>
              <w:t>Utarbeiding av PA</w:t>
            </w:r>
          </w:p>
        </w:tc>
        <w:tc>
          <w:tcPr>
            <w:tcW w:w="6615" w:type="dxa"/>
            <w:shd w:val="clear" w:color="auto" w:fill="C6D9F1" w:themeFill="text2" w:themeFillTint="33"/>
          </w:tcPr>
          <w:p w:rsidR="00B96573" w:rsidRPr="008B6D85" w:rsidRDefault="00B96573" w:rsidP="006D0BBB">
            <w:pPr>
              <w:pStyle w:val="Default"/>
              <w:rPr>
                <w:lang w:val="nb-NO"/>
              </w:rPr>
            </w:pPr>
          </w:p>
        </w:tc>
      </w:tr>
      <w:tr w:rsidR="00B96573" w:rsidRPr="008B6D85" w:rsidTr="006D0BBB">
        <w:tc>
          <w:tcPr>
            <w:tcW w:w="675" w:type="dxa"/>
          </w:tcPr>
          <w:p w:rsidR="00B96573" w:rsidRPr="008B6D85" w:rsidRDefault="00B96573" w:rsidP="006D0BBB">
            <w:r w:rsidRPr="008B6D85">
              <w:t>3 A</w:t>
            </w:r>
          </w:p>
        </w:tc>
        <w:tc>
          <w:tcPr>
            <w:tcW w:w="2410" w:type="dxa"/>
          </w:tcPr>
          <w:p w:rsidR="00B96573" w:rsidRPr="008B6D85" w:rsidRDefault="00B96573" w:rsidP="006D0BBB">
            <w:r w:rsidRPr="008B6D85">
              <w:t>PA-struktur</w:t>
            </w:r>
          </w:p>
        </w:tc>
        <w:tc>
          <w:tcPr>
            <w:tcW w:w="6615" w:type="dxa"/>
          </w:tcPr>
          <w:p w:rsidR="00B96573" w:rsidRPr="008B6D85" w:rsidRDefault="00B96573" w:rsidP="006D0BBB">
            <w:pPr>
              <w:pStyle w:val="Default"/>
              <w:rPr>
                <w:lang w:val="nb-NO"/>
              </w:rPr>
            </w:pPr>
            <w:r w:rsidRPr="008B6D85">
              <w:rPr>
                <w:lang w:val="nb-NO"/>
              </w:rPr>
              <w:t xml:space="preserve">PAen er delt opp i flere deler: </w:t>
            </w:r>
          </w:p>
          <w:p w:rsidR="00B96573" w:rsidRPr="008B6D85" w:rsidRDefault="00B96573" w:rsidP="006D0BBB">
            <w:pPr>
              <w:pStyle w:val="Default"/>
              <w:rPr>
                <w:lang w:val="nb-NO"/>
              </w:rPr>
            </w:pPr>
          </w:p>
          <w:p w:rsidR="00B96573" w:rsidRPr="006E5A44" w:rsidRDefault="00B96573" w:rsidP="006D0BBB">
            <w:pPr>
              <w:pStyle w:val="Default"/>
              <w:numPr>
                <w:ilvl w:val="0"/>
                <w:numId w:val="2"/>
              </w:numPr>
            </w:pPr>
            <w:r w:rsidRPr="006E5A44">
              <w:t>Særvilkår og -betingelser (Special terms and conditions - STC)</w:t>
            </w:r>
          </w:p>
          <w:p w:rsidR="00B96573" w:rsidRPr="008B6D85" w:rsidRDefault="00B96573" w:rsidP="006D0BBB">
            <w:pPr>
              <w:pStyle w:val="Default"/>
              <w:numPr>
                <w:ilvl w:val="0"/>
                <w:numId w:val="2"/>
              </w:numPr>
              <w:rPr>
                <w:lang w:val="nb-NO"/>
              </w:rPr>
            </w:pPr>
            <w:r w:rsidRPr="008B6D85">
              <w:rPr>
                <w:lang w:val="nb-NO"/>
              </w:rPr>
              <w:t>Vedlegg A - Generelle vilkår og betingelser (General terms and conditions - GTC)</w:t>
            </w:r>
          </w:p>
          <w:p w:rsidR="00B96573" w:rsidRPr="008B6D85" w:rsidRDefault="00B96573" w:rsidP="006D0BBB">
            <w:pPr>
              <w:pStyle w:val="Default"/>
              <w:numPr>
                <w:ilvl w:val="0"/>
                <w:numId w:val="2"/>
              </w:numPr>
              <w:rPr>
                <w:lang w:val="nb-NO"/>
              </w:rPr>
            </w:pPr>
            <w:r w:rsidRPr="008B6D85">
              <w:rPr>
                <w:lang w:val="nb-NO"/>
              </w:rPr>
              <w:t>Vedlegg B - Tilslutningspunkt(er)</w:t>
            </w:r>
          </w:p>
          <w:p w:rsidR="00B96573" w:rsidRPr="008B6D85" w:rsidRDefault="00B96573" w:rsidP="006D0BBB">
            <w:pPr>
              <w:pStyle w:val="Default"/>
              <w:numPr>
                <w:ilvl w:val="0"/>
                <w:numId w:val="2"/>
              </w:numPr>
              <w:rPr>
                <w:lang w:val="nb-NO"/>
              </w:rPr>
            </w:pPr>
            <w:r w:rsidRPr="008B6D85">
              <w:rPr>
                <w:lang w:val="nb-NO"/>
              </w:rPr>
              <w:t>Vedlegg C - Tilslutningsoperasjon</w:t>
            </w:r>
          </w:p>
          <w:p w:rsidR="00B96573" w:rsidRPr="008B6D85" w:rsidRDefault="00B96573" w:rsidP="006D0BBB">
            <w:pPr>
              <w:pStyle w:val="Default"/>
              <w:rPr>
                <w:lang w:val="nb-NO"/>
              </w:rPr>
            </w:pPr>
          </w:p>
        </w:tc>
      </w:tr>
      <w:tr w:rsidR="00B96573" w:rsidRPr="008B6D85" w:rsidTr="006D0BBB">
        <w:tc>
          <w:tcPr>
            <w:tcW w:w="675" w:type="dxa"/>
          </w:tcPr>
          <w:p w:rsidR="00B96573" w:rsidRPr="008B6D85" w:rsidRDefault="00B96573" w:rsidP="006D0BBB">
            <w:r w:rsidRPr="008B6D85">
              <w:t>3 B</w:t>
            </w:r>
          </w:p>
        </w:tc>
        <w:tc>
          <w:tcPr>
            <w:tcW w:w="2410" w:type="dxa"/>
          </w:tcPr>
          <w:p w:rsidR="00B96573" w:rsidRPr="008B6D85" w:rsidRDefault="00B96573" w:rsidP="006D0BBB">
            <w:r w:rsidRPr="008B6D85">
              <w:t>STC</w:t>
            </w:r>
          </w:p>
        </w:tc>
        <w:tc>
          <w:tcPr>
            <w:tcW w:w="6615" w:type="dxa"/>
          </w:tcPr>
          <w:p w:rsidR="00B96573" w:rsidRPr="008B6D85" w:rsidRDefault="00B96573" w:rsidP="006D0BBB">
            <w:pPr>
              <w:pStyle w:val="Default"/>
              <w:rPr>
                <w:lang w:val="nb-NO"/>
              </w:rPr>
            </w:pPr>
            <w:r w:rsidRPr="008B6D85">
              <w:rPr>
                <w:lang w:val="nb-NO"/>
              </w:rPr>
              <w:t xml:space="preserve">STCen beskriver partene og nærmere detaljer ved den enkelte tilslutningsoperasjon. </w:t>
            </w:r>
          </w:p>
          <w:p w:rsidR="00B96573" w:rsidRPr="008B6D85" w:rsidRDefault="00B96573" w:rsidP="006D0BBB">
            <w:pPr>
              <w:pStyle w:val="Default"/>
              <w:rPr>
                <w:lang w:val="nb-NO"/>
              </w:rPr>
            </w:pPr>
          </w:p>
          <w:p w:rsidR="00B96573" w:rsidRPr="008B6D85" w:rsidRDefault="00B96573" w:rsidP="006D0BBB">
            <w:pPr>
              <w:pStyle w:val="Default"/>
              <w:rPr>
                <w:lang w:val="nb-NO"/>
              </w:rPr>
            </w:pPr>
            <w:r w:rsidRPr="008B6D85">
              <w:rPr>
                <w:lang w:val="nb-NO"/>
              </w:rPr>
              <w:t>De nærmere detaljene (åpne felt i PAen) må fylles ut riktig. Spesifikasjonene for tilslutningsoperasjonen må settes inn av parten som planlegger operasjonen.</w:t>
            </w:r>
          </w:p>
          <w:p w:rsidR="00B96573" w:rsidRPr="008B6D85" w:rsidRDefault="00B96573" w:rsidP="006D0BBB">
            <w:pPr>
              <w:pStyle w:val="Default"/>
              <w:rPr>
                <w:lang w:val="nb-NO"/>
              </w:rPr>
            </w:pPr>
          </w:p>
          <w:p w:rsidR="00B96573" w:rsidRPr="008B6D85" w:rsidRDefault="00B96573" w:rsidP="006D0BBB">
            <w:pPr>
              <w:pStyle w:val="Default"/>
              <w:rPr>
                <w:lang w:val="nb-NO"/>
              </w:rPr>
            </w:pPr>
            <w:r w:rsidRPr="008B6D85">
              <w:rPr>
                <w:lang w:val="nb-NO"/>
              </w:rPr>
              <w:t xml:space="preserve">I tilfelle tredjeparten setter inn tilleggspunkter i STCen, anbefales det å be om at tredjeparten gir en begrunnelse for de foreslåtte avvikene/tilleggene. Når en slik begrunnelse mottas, bør den vurderes av relevant personell (og juridisk personell om nødvendig). </w:t>
            </w:r>
          </w:p>
          <w:p w:rsidR="00B96573" w:rsidRPr="008B6D85" w:rsidRDefault="00B96573" w:rsidP="006D0BBB">
            <w:pPr>
              <w:pStyle w:val="Default"/>
              <w:rPr>
                <w:lang w:val="nb-NO"/>
              </w:rPr>
            </w:pPr>
          </w:p>
        </w:tc>
      </w:tr>
      <w:tr w:rsidR="00B96573" w:rsidRPr="008B6D85" w:rsidTr="006D0BBB">
        <w:tc>
          <w:tcPr>
            <w:tcW w:w="675" w:type="dxa"/>
          </w:tcPr>
          <w:p w:rsidR="00B96573" w:rsidRPr="008B6D85" w:rsidRDefault="00B96573" w:rsidP="006D0BBB">
            <w:r w:rsidRPr="008B6D85">
              <w:t>3 C</w:t>
            </w:r>
          </w:p>
        </w:tc>
        <w:tc>
          <w:tcPr>
            <w:tcW w:w="2410" w:type="dxa"/>
          </w:tcPr>
          <w:p w:rsidR="00B96573" w:rsidRPr="008B6D85" w:rsidRDefault="00B96573" w:rsidP="006D0BBB">
            <w:r w:rsidRPr="008B6D85">
              <w:t>GTC</w:t>
            </w:r>
          </w:p>
          <w:p w:rsidR="00B96573" w:rsidRPr="008B6D85" w:rsidRDefault="00B96573" w:rsidP="006D0BBB"/>
        </w:tc>
        <w:tc>
          <w:tcPr>
            <w:tcW w:w="6615" w:type="dxa"/>
          </w:tcPr>
          <w:p w:rsidR="00B96573" w:rsidRPr="008B6D85" w:rsidRDefault="00B96573" w:rsidP="006D0BBB">
            <w:pPr>
              <w:pStyle w:val="Default"/>
              <w:rPr>
                <w:lang w:val="nb-NO"/>
              </w:rPr>
            </w:pPr>
            <w:r w:rsidRPr="008B6D85">
              <w:rPr>
                <w:lang w:val="nb-NO"/>
              </w:rPr>
              <w:t xml:space="preserve">GTCen bør i utgangspunktet være slik det er fastsatt i vedlegg A til PAen, ettersom ingen endringer eller justeringer normalt er påkrevd. </w:t>
            </w:r>
          </w:p>
          <w:p w:rsidR="00B96573" w:rsidRPr="008B6D85" w:rsidRDefault="00B96573" w:rsidP="006D0BBB">
            <w:pPr>
              <w:pStyle w:val="Default"/>
              <w:rPr>
                <w:lang w:val="nb-NO"/>
              </w:rPr>
            </w:pPr>
          </w:p>
          <w:p w:rsidR="00B96573" w:rsidRPr="008B6D85" w:rsidRDefault="00B96573" w:rsidP="006D0BBB">
            <w:pPr>
              <w:pStyle w:val="Default"/>
              <w:rPr>
                <w:lang w:val="nb-NO"/>
              </w:rPr>
            </w:pPr>
            <w:r w:rsidRPr="008B6D85">
              <w:rPr>
                <w:lang w:val="nb-NO"/>
              </w:rPr>
              <w:t>Bemerk imidlertid at man må velge mellom de to alternativene i GTC § 19.</w:t>
            </w:r>
          </w:p>
          <w:p w:rsidR="00B96573" w:rsidRPr="008B6D85" w:rsidRDefault="00B96573" w:rsidP="006D0BBB">
            <w:pPr>
              <w:pStyle w:val="Default"/>
              <w:rPr>
                <w:lang w:val="nb-NO"/>
              </w:rPr>
            </w:pPr>
          </w:p>
          <w:p w:rsidR="00B96573" w:rsidRPr="008B6D85" w:rsidRDefault="00B96573" w:rsidP="006D0BBB">
            <w:pPr>
              <w:pStyle w:val="Default"/>
              <w:rPr>
                <w:lang w:val="nb-NO"/>
              </w:rPr>
            </w:pPr>
            <w:r w:rsidRPr="008B6D85">
              <w:rPr>
                <w:lang w:val="nb-NO"/>
              </w:rPr>
              <w:lastRenderedPageBreak/>
              <w:t xml:space="preserve">GTCen bør imidlertid i alle tilfeller gjennomgås i lys av den planlagte tilslutningsoperasjonen, for å kontrollere at vilkårene passer til den enkelte tilslutningssituasjonen (særlig vilkårene som omfatter bestemte frister). </w:t>
            </w:r>
          </w:p>
          <w:p w:rsidR="00B96573" w:rsidRPr="008B6D85" w:rsidRDefault="00B96573" w:rsidP="006D0BBB">
            <w:pPr>
              <w:pStyle w:val="Default"/>
              <w:rPr>
                <w:lang w:val="nb-NO"/>
              </w:rPr>
            </w:pPr>
          </w:p>
          <w:p w:rsidR="00B96573" w:rsidRPr="008B6D85" w:rsidRDefault="00B96573" w:rsidP="006D0BBB">
            <w:pPr>
              <w:pStyle w:val="Default"/>
              <w:rPr>
                <w:lang w:val="nb-NO"/>
              </w:rPr>
            </w:pPr>
            <w:r w:rsidRPr="008B6D85">
              <w:rPr>
                <w:lang w:val="nb-NO"/>
              </w:rPr>
              <w:t xml:space="preserve">Målet er, i den grad det er mulig, å unngå eventuelle (re)forhandlinger av GTC. Men om en bestemt operasjon gjør det nødvendig å avvike fra GTC, bør dette nevnes i særvilkårene. I tilfelle det anses som nødvendig å avvike fra GTC eller tredjeparten ber om det, ta kontakt med relevant personell (og juridisk personell om nødvendig). </w:t>
            </w:r>
          </w:p>
          <w:p w:rsidR="00B96573" w:rsidRPr="008B6D85" w:rsidRDefault="00B96573" w:rsidP="006D0BBB">
            <w:pPr>
              <w:pStyle w:val="Default"/>
              <w:rPr>
                <w:lang w:val="nb-NO"/>
              </w:rPr>
            </w:pPr>
          </w:p>
        </w:tc>
      </w:tr>
      <w:tr w:rsidR="00B96573" w:rsidRPr="008B6D85" w:rsidTr="006D0BBB">
        <w:tc>
          <w:tcPr>
            <w:tcW w:w="675" w:type="dxa"/>
            <w:tcBorders>
              <w:bottom w:val="single" w:sz="4" w:space="0" w:color="auto"/>
            </w:tcBorders>
          </w:tcPr>
          <w:p w:rsidR="00B96573" w:rsidRPr="008B6D85" w:rsidRDefault="00B96573" w:rsidP="006D0BBB">
            <w:r w:rsidRPr="008B6D85">
              <w:lastRenderedPageBreak/>
              <w:t>3 D</w:t>
            </w:r>
          </w:p>
        </w:tc>
        <w:tc>
          <w:tcPr>
            <w:tcW w:w="2410" w:type="dxa"/>
            <w:tcBorders>
              <w:bottom w:val="single" w:sz="4" w:space="0" w:color="auto"/>
            </w:tcBorders>
          </w:tcPr>
          <w:p w:rsidR="00B96573" w:rsidRPr="008B6D85" w:rsidRDefault="00B96573" w:rsidP="006D0BBB">
            <w:r w:rsidRPr="008B6D85">
              <w:t>Vedlegg B og C</w:t>
            </w:r>
          </w:p>
        </w:tc>
        <w:tc>
          <w:tcPr>
            <w:tcW w:w="6615" w:type="dxa"/>
            <w:tcBorders>
              <w:bottom w:val="single" w:sz="4" w:space="0" w:color="auto"/>
            </w:tcBorders>
          </w:tcPr>
          <w:p w:rsidR="00B96573" w:rsidRPr="008B6D85" w:rsidRDefault="00B96573" w:rsidP="006D0BBB">
            <w:pPr>
              <w:pStyle w:val="Default"/>
              <w:rPr>
                <w:lang w:val="nb-NO"/>
              </w:rPr>
            </w:pPr>
            <w:r w:rsidRPr="008B6D85">
              <w:rPr>
                <w:lang w:val="nb-NO"/>
              </w:rPr>
              <w:t xml:space="preserve">Disse vedleggene som beskriver tilslutningspunktene og -operasjonen, er særegne for hvert tilfelle, og de må utarbeides og leveres av parten som utfører operasjonen. </w:t>
            </w:r>
          </w:p>
          <w:p w:rsidR="00B96573" w:rsidRPr="008B6D85" w:rsidRDefault="00B96573" w:rsidP="006D0BBB">
            <w:pPr>
              <w:pStyle w:val="Default"/>
              <w:rPr>
                <w:lang w:val="nb-NO"/>
              </w:rPr>
            </w:pPr>
          </w:p>
          <w:p w:rsidR="00B96573" w:rsidRPr="008B6D85" w:rsidRDefault="00B96573" w:rsidP="006D0BBB">
            <w:pPr>
              <w:pStyle w:val="Default"/>
              <w:rPr>
                <w:lang w:val="nb-NO"/>
              </w:rPr>
            </w:pPr>
            <w:r w:rsidRPr="008B6D85">
              <w:rPr>
                <w:lang w:val="nb-NO"/>
              </w:rPr>
              <w:t>Formålet med vedlegg C (tilslutningsoperasjon) er å gi en beskrivelse av tilslutningsoperasjonen på høyt nivå, uten unødvendige detaljer (normalt er 2-3 sider nok). Utvekslingen av metoderedegjørelser, driftsprosedyrer o.l. for godkjenning av den berørte parten, finner sted etter at PAen er blitt undertegnet, jf. artikkel 2.2 i GTC.</w:t>
            </w:r>
          </w:p>
          <w:p w:rsidR="00B96573" w:rsidRPr="008B6D85" w:rsidRDefault="00B96573" w:rsidP="006D0BBB">
            <w:pPr>
              <w:rPr>
                <w:sz w:val="23"/>
                <w:szCs w:val="23"/>
              </w:rPr>
            </w:pPr>
          </w:p>
        </w:tc>
      </w:tr>
      <w:tr w:rsidR="00B96573" w:rsidRPr="008B6D85" w:rsidTr="006D0BBB">
        <w:tc>
          <w:tcPr>
            <w:tcW w:w="675" w:type="dxa"/>
            <w:shd w:val="clear" w:color="auto" w:fill="C6D9F1" w:themeFill="text2" w:themeFillTint="33"/>
          </w:tcPr>
          <w:p w:rsidR="00B96573" w:rsidRPr="008B6D85" w:rsidRDefault="00B96573" w:rsidP="006D0BBB">
            <w:r w:rsidRPr="008B6D85">
              <w:t>4</w:t>
            </w:r>
          </w:p>
        </w:tc>
        <w:tc>
          <w:tcPr>
            <w:tcW w:w="2410" w:type="dxa"/>
            <w:shd w:val="clear" w:color="auto" w:fill="C6D9F1" w:themeFill="text2" w:themeFillTint="33"/>
          </w:tcPr>
          <w:p w:rsidR="00B96573" w:rsidRPr="008B6D85" w:rsidRDefault="00B96573" w:rsidP="006D0BBB">
            <w:pPr>
              <w:rPr>
                <w:b/>
              </w:rPr>
            </w:pPr>
            <w:r w:rsidRPr="008B6D85">
              <w:rPr>
                <w:b/>
              </w:rPr>
              <w:t>Godkjenning og gjennomføring av PA</w:t>
            </w:r>
          </w:p>
          <w:p w:rsidR="00B96573" w:rsidRPr="008B6D85" w:rsidRDefault="00B96573" w:rsidP="006D0BBB">
            <w:r w:rsidRPr="008B6D85">
              <w:t>(når PA sluttføres)</w:t>
            </w:r>
          </w:p>
        </w:tc>
        <w:tc>
          <w:tcPr>
            <w:tcW w:w="6615" w:type="dxa"/>
            <w:shd w:val="clear" w:color="auto" w:fill="C6D9F1" w:themeFill="text2" w:themeFillTint="33"/>
          </w:tcPr>
          <w:p w:rsidR="00B96573" w:rsidRPr="008B6D85" w:rsidRDefault="00B96573" w:rsidP="006D0BBB">
            <w:pPr>
              <w:rPr>
                <w:sz w:val="23"/>
                <w:szCs w:val="23"/>
              </w:rPr>
            </w:pPr>
          </w:p>
        </w:tc>
      </w:tr>
      <w:tr w:rsidR="00B96573" w:rsidRPr="008B6D85" w:rsidTr="006D0BBB">
        <w:tc>
          <w:tcPr>
            <w:tcW w:w="675" w:type="dxa"/>
          </w:tcPr>
          <w:p w:rsidR="00B96573" w:rsidRPr="008B6D85" w:rsidRDefault="00B96573" w:rsidP="006D0BBB">
            <w:r w:rsidRPr="008B6D85">
              <w:t>4 A</w:t>
            </w:r>
          </w:p>
        </w:tc>
        <w:tc>
          <w:tcPr>
            <w:tcW w:w="2410" w:type="dxa"/>
          </w:tcPr>
          <w:p w:rsidR="00B96573" w:rsidRPr="008B6D85" w:rsidRDefault="00B96573" w:rsidP="006D0BBB">
            <w:r w:rsidRPr="008B6D85">
              <w:t xml:space="preserve">Godkjenning </w:t>
            </w:r>
          </w:p>
        </w:tc>
        <w:tc>
          <w:tcPr>
            <w:tcW w:w="6615" w:type="dxa"/>
          </w:tcPr>
          <w:p w:rsidR="00B96573" w:rsidRPr="008B6D85" w:rsidRDefault="00B96573" w:rsidP="006D0BBB">
            <w:r w:rsidRPr="008B6D85">
              <w:t xml:space="preserve">Godkjenning må innhentes fra relevant selskapsrepresentant. </w:t>
            </w:r>
          </w:p>
          <w:p w:rsidR="00B96573" w:rsidRPr="008B6D85" w:rsidRDefault="00B96573" w:rsidP="006D0BBB"/>
          <w:p w:rsidR="00B96573" w:rsidRPr="008B6D85" w:rsidRDefault="00B96573" w:rsidP="006D0BBB">
            <w:r w:rsidRPr="008B6D85">
              <w:t xml:space="preserve">Dersom PAen skal godkjennes på vegne av lisensen må følgende utføres før PAen inngås: </w:t>
            </w:r>
          </w:p>
          <w:p w:rsidR="00B96573" w:rsidRPr="008B6D85" w:rsidRDefault="00B96573" w:rsidP="006D0BBB">
            <w:pPr>
              <w:pStyle w:val="Listeavsnitt"/>
              <w:numPr>
                <w:ilvl w:val="0"/>
                <w:numId w:val="4"/>
              </w:numPr>
            </w:pPr>
            <w:r w:rsidRPr="008B6D85">
              <w:t xml:space="preserve">Kontroller om styringskomiteen for lisensen har godkjent at operatøren inngår PAer uten ytterligere vedtak i styringskomiteen for hver enkelt PA.  </w:t>
            </w:r>
          </w:p>
          <w:p w:rsidR="00B96573" w:rsidRPr="008B6D85" w:rsidRDefault="00B96573" w:rsidP="006D0BBB">
            <w:pPr>
              <w:pStyle w:val="Listeavsnitt"/>
              <w:numPr>
                <w:ilvl w:val="1"/>
                <w:numId w:val="4"/>
              </w:numPr>
            </w:pPr>
            <w:r w:rsidRPr="008B6D85">
              <w:t xml:space="preserve">Dersom slik godkjenning gis, kan operatøren inngå PAen i samsvar med den generelle godkjenningen, og det er tilstrekkelig å legge ut sluttførte og avtalte PAen på den relevante Licence2Share for informasjonsformål. </w:t>
            </w:r>
          </w:p>
          <w:p w:rsidR="00B96573" w:rsidRPr="008B6D85" w:rsidRDefault="00B96573" w:rsidP="006D0BBB">
            <w:pPr>
              <w:pStyle w:val="Listeavsnitt"/>
              <w:numPr>
                <w:ilvl w:val="1"/>
                <w:numId w:val="4"/>
              </w:numPr>
            </w:pPr>
            <w:r w:rsidRPr="008B6D85">
              <w:lastRenderedPageBreak/>
              <w:t>Dersom slik godkjenning ikke er gitt, må operatøren be styringskomiteen om slik godkjenning før PAen inngås.</w:t>
            </w:r>
          </w:p>
          <w:p w:rsidR="00B96573" w:rsidRPr="008B6D85" w:rsidRDefault="00B96573" w:rsidP="006D0BBB"/>
        </w:tc>
      </w:tr>
      <w:tr w:rsidR="00B96573" w:rsidRPr="008B6D85" w:rsidTr="006D0BBB">
        <w:tc>
          <w:tcPr>
            <w:tcW w:w="675" w:type="dxa"/>
          </w:tcPr>
          <w:p w:rsidR="00B96573" w:rsidRPr="008B6D85" w:rsidRDefault="00B96573" w:rsidP="006D0BBB">
            <w:r w:rsidRPr="008B6D85">
              <w:lastRenderedPageBreak/>
              <w:t>4 B</w:t>
            </w:r>
          </w:p>
        </w:tc>
        <w:tc>
          <w:tcPr>
            <w:tcW w:w="2410" w:type="dxa"/>
          </w:tcPr>
          <w:p w:rsidR="00B96573" w:rsidRPr="008B6D85" w:rsidRDefault="00B96573" w:rsidP="006D0BBB">
            <w:r w:rsidRPr="008B6D85">
              <w:t>Undertegning</w:t>
            </w:r>
          </w:p>
        </w:tc>
        <w:tc>
          <w:tcPr>
            <w:tcW w:w="6615" w:type="dxa"/>
          </w:tcPr>
          <w:p w:rsidR="00B96573" w:rsidRPr="008B6D85" w:rsidRDefault="00B96573" w:rsidP="006D0BBB">
            <w:r w:rsidRPr="008B6D85">
              <w:t>Med hensyn til undertegning av PAen som et uavhengig selskap eller som operatør for den utførende parten eller den berørte parten, må dette gjøres av en person som har rett til å undertegne denne avtalen på vegne av selskapet. Alternativt kan det innhentes en fullmakt til å undertegne PAen fra en person som har rett til å undertegne avtalen.</w:t>
            </w:r>
          </w:p>
          <w:p w:rsidR="00B96573" w:rsidRPr="008B6D85" w:rsidRDefault="00B96573" w:rsidP="006D0BBB"/>
          <w:p w:rsidR="00B96573" w:rsidRPr="008B6D85" w:rsidRDefault="00B96573" w:rsidP="006D0BBB">
            <w:r w:rsidRPr="008B6D85">
              <w:t>Kontroller at den andre parten undertegner PAen og at denne kontrasignerte versjonen returneres til ditt selskap/lisensen.</w:t>
            </w:r>
          </w:p>
          <w:p w:rsidR="00B96573" w:rsidRPr="008B6D85" w:rsidRDefault="00B96573" w:rsidP="006D0BBB"/>
        </w:tc>
      </w:tr>
      <w:tr w:rsidR="00B96573" w:rsidRPr="008B6D85" w:rsidTr="006D0BBB">
        <w:tc>
          <w:tcPr>
            <w:tcW w:w="675" w:type="dxa"/>
          </w:tcPr>
          <w:p w:rsidR="00B96573" w:rsidRPr="008B6D85" w:rsidRDefault="00B96573" w:rsidP="006D0BBB">
            <w:r w:rsidRPr="008B6D85">
              <w:t>4 C</w:t>
            </w:r>
          </w:p>
        </w:tc>
        <w:tc>
          <w:tcPr>
            <w:tcW w:w="2410" w:type="dxa"/>
          </w:tcPr>
          <w:p w:rsidR="00B96573" w:rsidRPr="008B6D85" w:rsidRDefault="00B96573" w:rsidP="006D0BBB">
            <w:r w:rsidRPr="008B6D85">
              <w:t>Arkivering</w:t>
            </w:r>
          </w:p>
        </w:tc>
        <w:tc>
          <w:tcPr>
            <w:tcW w:w="6615" w:type="dxa"/>
          </w:tcPr>
          <w:p w:rsidR="00B96573" w:rsidRPr="008B6D85" w:rsidRDefault="00B96573" w:rsidP="006D0BBB">
            <w:r w:rsidRPr="008B6D85">
              <w:t xml:space="preserve">Når PAen er undertegnet av begge parter, må PAen arkiveres. </w:t>
            </w:r>
          </w:p>
          <w:p w:rsidR="00B96573" w:rsidRPr="008B6D85" w:rsidRDefault="00B96573" w:rsidP="006D0BBB"/>
        </w:tc>
      </w:tr>
    </w:tbl>
    <w:p w:rsidR="00B96573" w:rsidRPr="008B6D85" w:rsidRDefault="00B96573" w:rsidP="00B96573">
      <w:pPr>
        <w:spacing w:after="200" w:line="276" w:lineRule="auto"/>
        <w:rPr>
          <w:rFonts w:ascii="Arial" w:hAnsi="Arial" w:cs="Arial"/>
          <w:sz w:val="20"/>
          <w:szCs w:val="20"/>
        </w:rPr>
      </w:pPr>
      <w:r w:rsidRPr="008B6D85">
        <w:rPr>
          <w:rFonts w:ascii="Arial" w:hAnsi="Arial" w:cs="Arial"/>
          <w:sz w:val="20"/>
          <w:szCs w:val="20"/>
        </w:rPr>
        <w:br w:type="page"/>
      </w:r>
    </w:p>
    <w:p w:rsidR="00B96573" w:rsidRPr="008B6D85" w:rsidRDefault="00B96573" w:rsidP="00B96573">
      <w:pPr>
        <w:spacing w:after="200" w:line="276" w:lineRule="auto"/>
        <w:rPr>
          <w:rFonts w:ascii="Arial" w:hAnsi="Arial" w:cs="Arial"/>
          <w:sz w:val="20"/>
          <w:szCs w:val="20"/>
        </w:rPr>
      </w:pPr>
    </w:p>
    <w:p w:rsidR="00B96573" w:rsidRPr="008B6D85" w:rsidRDefault="00B96573" w:rsidP="00B96573">
      <w:pPr>
        <w:rPr>
          <w:b/>
        </w:rPr>
      </w:pPr>
      <w:r w:rsidRPr="008B6D85">
        <w:rPr>
          <w:b/>
        </w:rPr>
        <w:t xml:space="preserve">DEL B </w:t>
      </w:r>
      <w:r w:rsidRPr="008B6D85">
        <w:rPr>
          <w:b/>
        </w:rPr>
        <w:tab/>
        <w:t xml:space="preserve">KRYSNINGSAVTALER FOR </w:t>
      </w:r>
      <w:r w:rsidR="006E5A44">
        <w:rPr>
          <w:b/>
        </w:rPr>
        <w:t>RØRLEDNINGER (PIPELINE CROSSING</w:t>
      </w:r>
      <w:r w:rsidR="006E5A44">
        <w:rPr>
          <w:b/>
        </w:rPr>
        <w:br/>
        <w:t xml:space="preserve"> </w:t>
      </w:r>
      <w:r w:rsidR="006E5A44">
        <w:rPr>
          <w:b/>
        </w:rPr>
        <w:tab/>
      </w:r>
      <w:r w:rsidR="006E5A44">
        <w:rPr>
          <w:b/>
        </w:rPr>
        <w:tab/>
      </w:r>
      <w:r w:rsidRPr="008B6D85">
        <w:rPr>
          <w:b/>
        </w:rPr>
        <w:t>AGREEMENTS - PCA)</w:t>
      </w:r>
    </w:p>
    <w:p w:rsidR="00B96573" w:rsidRPr="008B6D85" w:rsidRDefault="00B96573" w:rsidP="00B96573">
      <w:pPr>
        <w:rPr>
          <w:rFonts w:ascii="Arial" w:hAnsi="Arial" w:cs="Arial"/>
          <w:b/>
          <w:sz w:val="20"/>
          <w:szCs w:val="20"/>
        </w:rPr>
      </w:pPr>
    </w:p>
    <w:p w:rsidR="00B96573" w:rsidRPr="008B6D85" w:rsidRDefault="00B96573" w:rsidP="00B96573">
      <w:pPr>
        <w:rPr>
          <w:b/>
        </w:rPr>
      </w:pPr>
      <w:r w:rsidRPr="008B6D85">
        <w:rPr>
          <w:b/>
        </w:rPr>
        <w:t>Innledende kommentarer</w:t>
      </w:r>
    </w:p>
    <w:p w:rsidR="00B96573" w:rsidRPr="008B6D85" w:rsidRDefault="00B96573" w:rsidP="00B96573"/>
    <w:p w:rsidR="00B96573" w:rsidRPr="008B6D85" w:rsidRDefault="00B96573" w:rsidP="00B96573">
      <w:pPr>
        <w:pStyle w:val="Default"/>
        <w:rPr>
          <w:lang w:val="nb-NO"/>
        </w:rPr>
      </w:pPr>
      <w:r w:rsidRPr="008B6D85">
        <w:rPr>
          <w:lang w:val="nb-NO"/>
        </w:rPr>
        <w:t>Merknadene nedenfor bygger på krysningsavtalen for rørledninger ("PCA") inkludert i Norsk olje og gass' Anbefalte retningslinjer for bruk av standardavtaler.</w:t>
      </w:r>
    </w:p>
    <w:p w:rsidR="00B96573" w:rsidRPr="008B6D85" w:rsidRDefault="00B96573" w:rsidP="00B96573">
      <w:pPr>
        <w:pStyle w:val="Default"/>
        <w:rPr>
          <w:lang w:val="nb-NO"/>
        </w:rPr>
      </w:pPr>
    </w:p>
    <w:p w:rsidR="00B96573" w:rsidRPr="008B6D85" w:rsidRDefault="00B96573" w:rsidP="00B96573">
      <w:pPr>
        <w:pStyle w:val="Default"/>
        <w:rPr>
          <w:lang w:val="nb-NO"/>
        </w:rPr>
      </w:pPr>
      <w:r w:rsidRPr="008B6D85">
        <w:rPr>
          <w:lang w:val="nb-NO"/>
        </w:rPr>
        <w:t xml:space="preserve">En PCA må inngås når en rørledning fysisk krysser en annen rørledning. Dersom rørledningene ligger i nærheten av hverandre uten faktisk å krysse hverandre på noe punkt, bør standard tilslutningsavtale brukes (se del A over). </w:t>
      </w:r>
    </w:p>
    <w:p w:rsidR="00B96573" w:rsidRPr="008B6D85" w:rsidRDefault="00B96573" w:rsidP="00B96573">
      <w:pPr>
        <w:pStyle w:val="Default"/>
        <w:rPr>
          <w:lang w:val="nb-NO"/>
        </w:rPr>
      </w:pPr>
    </w:p>
    <w:p w:rsidR="00B96573" w:rsidRPr="008B6D85" w:rsidRDefault="00B96573" w:rsidP="00B96573">
      <w:pPr>
        <w:pStyle w:val="Default"/>
        <w:rPr>
          <w:lang w:val="nb-NO"/>
        </w:rPr>
      </w:pPr>
      <w:r w:rsidRPr="008B6D85">
        <w:rPr>
          <w:lang w:val="nb-NO"/>
        </w:rPr>
        <w:t xml:space="preserve">En PCA gjelder for rørledninger, men kan like gjerne benyttes under andre omstendigheter, som f.eks. når en slange eller kabel krysser en rørledning. Dersom PCAen skal brukes under slik andre omstendigheter, vil dette kreve at definisjonene i PCAen endres etter hva som er hensiktsmessig. </w:t>
      </w:r>
    </w:p>
    <w:p w:rsidR="00B96573" w:rsidRPr="008B6D85" w:rsidRDefault="00B96573" w:rsidP="00B96573"/>
    <w:p w:rsidR="00B96573" w:rsidRPr="008B6D85" w:rsidRDefault="00B96573" w:rsidP="00B96573"/>
    <w:tbl>
      <w:tblPr>
        <w:tblStyle w:val="Tabellrutenett"/>
        <w:tblW w:w="0" w:type="auto"/>
        <w:tblLook w:val="04A0" w:firstRow="1" w:lastRow="0" w:firstColumn="1" w:lastColumn="0" w:noHBand="0" w:noVBand="1"/>
      </w:tblPr>
      <w:tblGrid>
        <w:gridCol w:w="675"/>
        <w:gridCol w:w="2410"/>
        <w:gridCol w:w="6615"/>
      </w:tblGrid>
      <w:tr w:rsidR="00B96573" w:rsidRPr="008B6D85" w:rsidTr="006D0BBB">
        <w:tc>
          <w:tcPr>
            <w:tcW w:w="675" w:type="dxa"/>
            <w:shd w:val="clear" w:color="auto" w:fill="8DB3E2" w:themeFill="text2" w:themeFillTint="66"/>
          </w:tcPr>
          <w:p w:rsidR="00B96573" w:rsidRPr="008B6D85" w:rsidRDefault="00B96573" w:rsidP="006D0BBB">
            <w:pPr>
              <w:rPr>
                <w:b/>
              </w:rPr>
            </w:pPr>
          </w:p>
        </w:tc>
        <w:tc>
          <w:tcPr>
            <w:tcW w:w="2410" w:type="dxa"/>
            <w:shd w:val="clear" w:color="auto" w:fill="8DB3E2" w:themeFill="text2" w:themeFillTint="66"/>
          </w:tcPr>
          <w:p w:rsidR="00B96573" w:rsidRPr="008B6D85" w:rsidRDefault="00B96573" w:rsidP="006D0BBB">
            <w:pPr>
              <w:rPr>
                <w:b/>
              </w:rPr>
            </w:pPr>
            <w:r w:rsidRPr="008B6D85">
              <w:rPr>
                <w:b/>
              </w:rPr>
              <w:t>Fase/situasjon</w:t>
            </w:r>
          </w:p>
        </w:tc>
        <w:tc>
          <w:tcPr>
            <w:tcW w:w="6615" w:type="dxa"/>
            <w:shd w:val="clear" w:color="auto" w:fill="8DB3E2" w:themeFill="text2" w:themeFillTint="66"/>
          </w:tcPr>
          <w:p w:rsidR="00B96573" w:rsidRPr="008B6D85" w:rsidRDefault="00B96573" w:rsidP="006D0BBB">
            <w:pPr>
              <w:rPr>
                <w:b/>
              </w:rPr>
            </w:pPr>
            <w:r w:rsidRPr="008B6D85">
              <w:rPr>
                <w:b/>
              </w:rPr>
              <w:t>Merknader/tiltak (beste praksis)</w:t>
            </w:r>
          </w:p>
        </w:tc>
      </w:tr>
      <w:tr w:rsidR="00B96573" w:rsidRPr="008B6D85" w:rsidTr="006D0BBB">
        <w:tc>
          <w:tcPr>
            <w:tcW w:w="675" w:type="dxa"/>
            <w:tcBorders>
              <w:bottom w:val="single" w:sz="4" w:space="0" w:color="auto"/>
            </w:tcBorders>
          </w:tcPr>
          <w:p w:rsidR="00B96573" w:rsidRPr="008B6D85" w:rsidRDefault="00B96573" w:rsidP="006D0BBB">
            <w:r w:rsidRPr="008B6D85">
              <w:t>1</w:t>
            </w:r>
          </w:p>
        </w:tc>
        <w:tc>
          <w:tcPr>
            <w:tcW w:w="2410" w:type="dxa"/>
            <w:tcBorders>
              <w:bottom w:val="single" w:sz="4" w:space="0" w:color="auto"/>
            </w:tcBorders>
          </w:tcPr>
          <w:p w:rsidR="00B96573" w:rsidRPr="008B6D85" w:rsidRDefault="00B96573" w:rsidP="006D0BBB">
            <w:r w:rsidRPr="008B6D85">
              <w:t xml:space="preserve">Når er det påkrevd med en PCA? </w:t>
            </w:r>
          </w:p>
        </w:tc>
        <w:tc>
          <w:tcPr>
            <w:tcW w:w="6615" w:type="dxa"/>
            <w:tcBorders>
              <w:bottom w:val="single" w:sz="4" w:space="0" w:color="auto"/>
            </w:tcBorders>
          </w:tcPr>
          <w:p w:rsidR="00B96573" w:rsidRPr="008B6D85" w:rsidRDefault="00B96573" w:rsidP="006D0BBB">
            <w:r w:rsidRPr="008B6D85">
              <w:t xml:space="preserve">En PCA er påkrevd når en planlagt rørledning vil krysse en annen rørledning som tilhører en annen eier/lisens. </w:t>
            </w:r>
          </w:p>
          <w:p w:rsidR="00B96573" w:rsidRPr="008B6D85" w:rsidRDefault="00B96573" w:rsidP="006D0BBB"/>
        </w:tc>
      </w:tr>
      <w:tr w:rsidR="00B96573" w:rsidRPr="008B6D85" w:rsidTr="006D0BBB">
        <w:tc>
          <w:tcPr>
            <w:tcW w:w="675" w:type="dxa"/>
            <w:shd w:val="clear" w:color="auto" w:fill="C6D9F1" w:themeFill="text2" w:themeFillTint="33"/>
          </w:tcPr>
          <w:p w:rsidR="00B96573" w:rsidRPr="008B6D85" w:rsidRDefault="00B96573" w:rsidP="006D0BBB">
            <w:r w:rsidRPr="008B6D85">
              <w:t>2</w:t>
            </w:r>
          </w:p>
        </w:tc>
        <w:tc>
          <w:tcPr>
            <w:tcW w:w="2410" w:type="dxa"/>
            <w:shd w:val="clear" w:color="auto" w:fill="C6D9F1" w:themeFill="text2" w:themeFillTint="33"/>
          </w:tcPr>
          <w:p w:rsidR="00B96573" w:rsidRPr="008B6D85" w:rsidRDefault="00B96573" w:rsidP="006D0BBB">
            <w:pPr>
              <w:rPr>
                <w:b/>
              </w:rPr>
            </w:pPr>
            <w:r w:rsidRPr="008B6D85">
              <w:rPr>
                <w:b/>
              </w:rPr>
              <w:t>Oppstartsfase</w:t>
            </w:r>
          </w:p>
        </w:tc>
        <w:tc>
          <w:tcPr>
            <w:tcW w:w="6615" w:type="dxa"/>
            <w:shd w:val="clear" w:color="auto" w:fill="C6D9F1" w:themeFill="text2" w:themeFillTint="33"/>
          </w:tcPr>
          <w:p w:rsidR="00B96573" w:rsidRPr="008B6D85" w:rsidRDefault="00B96573" w:rsidP="006D0BBB"/>
        </w:tc>
      </w:tr>
      <w:tr w:rsidR="00B96573" w:rsidRPr="008B6D85" w:rsidTr="006D0BBB">
        <w:tc>
          <w:tcPr>
            <w:tcW w:w="675" w:type="dxa"/>
          </w:tcPr>
          <w:p w:rsidR="00B96573" w:rsidRPr="008B6D85" w:rsidRDefault="00B96573" w:rsidP="006D0BBB">
            <w:r w:rsidRPr="008B6D85">
              <w:t>2 A</w:t>
            </w:r>
          </w:p>
        </w:tc>
        <w:tc>
          <w:tcPr>
            <w:tcW w:w="2410" w:type="dxa"/>
          </w:tcPr>
          <w:p w:rsidR="00B96573" w:rsidRPr="008B6D85" w:rsidRDefault="00B96573" w:rsidP="006D0BBB">
            <w:pPr>
              <w:rPr>
                <w:b/>
              </w:rPr>
            </w:pPr>
            <w:r w:rsidRPr="008B6D85">
              <w:rPr>
                <w:u w:val="single"/>
              </w:rPr>
              <w:t>Selskapet ditt</w:t>
            </w:r>
            <w:r w:rsidRPr="008B6D85">
              <w:t xml:space="preserve"> planlegger å utføre en rørledningskrysning.</w:t>
            </w:r>
          </w:p>
        </w:tc>
        <w:tc>
          <w:tcPr>
            <w:tcW w:w="6615" w:type="dxa"/>
          </w:tcPr>
          <w:p w:rsidR="00B96573" w:rsidRPr="008B6D85" w:rsidRDefault="00B96573" w:rsidP="006D0BBB">
            <w:r w:rsidRPr="008B6D85">
              <w:t xml:space="preserve">Anbefalte tiltak: </w:t>
            </w:r>
          </w:p>
          <w:p w:rsidR="00B96573" w:rsidRPr="008B6D85" w:rsidRDefault="00B96573" w:rsidP="006D0BBB"/>
          <w:p w:rsidR="00B96573" w:rsidRPr="008B6D85" w:rsidRDefault="00B96573" w:rsidP="006D0BBB">
            <w:r w:rsidRPr="008B6D85">
              <w:t xml:space="preserve">Ta kontakt med eieren/operatøren av den eksisterende rørledningen under planleggingen av traseen for den kryssende rørledningen, ettersom særlige omstendigheter (frie spenn, anoder, sted for eksisterende steindumping o.l.) kan innvirke på </w:t>
            </w:r>
            <w:r w:rsidRPr="008B6D85">
              <w:lastRenderedPageBreak/>
              <w:t>det mulige krysningspunktet/-punktene, og dermed påvirke traseen.</w:t>
            </w:r>
          </w:p>
          <w:p w:rsidR="00B96573" w:rsidRPr="008B6D85" w:rsidRDefault="00B96573" w:rsidP="006D0BBB"/>
          <w:p w:rsidR="00B96573" w:rsidRPr="008B6D85" w:rsidRDefault="00B96573" w:rsidP="006D0BBB">
            <w:r w:rsidRPr="008B6D85">
              <w:t xml:space="preserve">Det bør opprettes kontakt med eier/operatør av den eksisterende rørledningen i god tid før (fortrinnsvis mer enn 6 måneder før om mulig) den planlagte gjennomføringsdatoen for krysningsoperasjonen, for å planlegge operasjonen og utarbeide den nødvendige PCAen. </w:t>
            </w:r>
          </w:p>
          <w:p w:rsidR="00B96573" w:rsidRPr="008B6D85" w:rsidRDefault="00B96573" w:rsidP="006D0BBB"/>
          <w:p w:rsidR="00B96573" w:rsidRPr="008B6D85" w:rsidRDefault="00B96573" w:rsidP="006D0BBB">
            <w:r w:rsidRPr="008B6D85">
              <w:t xml:space="preserve">Foreslå at standard PCA brukes, og legge ved, på e-post, et utkast til PCA til en identifisert kontaktperson hos tredjeparten. Utkastet til PCAen bør utformes i henhold til punkt 3 nedenfor.  </w:t>
            </w:r>
          </w:p>
          <w:p w:rsidR="00B96573" w:rsidRPr="008B6D85" w:rsidRDefault="00B96573" w:rsidP="006D0BBB"/>
          <w:p w:rsidR="00B96573" w:rsidRPr="008B6D85" w:rsidRDefault="00B96573" w:rsidP="006D0BBB">
            <w:r w:rsidRPr="008B6D85">
              <w:t xml:space="preserve">Før utkastet til PCA sendes til tredjeparten, bør relevant personell i selskapet ditt og/eller lisensen bli informert. </w:t>
            </w:r>
          </w:p>
          <w:p w:rsidR="00B96573" w:rsidRPr="008B6D85" w:rsidRDefault="00B96573" w:rsidP="006D0BBB"/>
        </w:tc>
      </w:tr>
      <w:tr w:rsidR="00B96573" w:rsidRPr="008B6D85" w:rsidTr="006D0BBB">
        <w:tc>
          <w:tcPr>
            <w:tcW w:w="675" w:type="dxa"/>
            <w:tcBorders>
              <w:bottom w:val="single" w:sz="4" w:space="0" w:color="auto"/>
            </w:tcBorders>
          </w:tcPr>
          <w:p w:rsidR="00B96573" w:rsidRPr="008B6D85" w:rsidRDefault="00B96573" w:rsidP="006D0BBB">
            <w:r w:rsidRPr="008B6D85">
              <w:lastRenderedPageBreak/>
              <w:t>2 B</w:t>
            </w:r>
          </w:p>
        </w:tc>
        <w:tc>
          <w:tcPr>
            <w:tcW w:w="2410" w:type="dxa"/>
            <w:tcBorders>
              <w:bottom w:val="single" w:sz="4" w:space="0" w:color="auto"/>
            </w:tcBorders>
          </w:tcPr>
          <w:p w:rsidR="00B96573" w:rsidRPr="008B6D85" w:rsidRDefault="00B96573" w:rsidP="006D0BBB">
            <w:pPr>
              <w:rPr>
                <w:b/>
              </w:rPr>
            </w:pPr>
            <w:r w:rsidRPr="008B6D85">
              <w:rPr>
                <w:u w:val="single"/>
              </w:rPr>
              <w:t>En tredjepart</w:t>
            </w:r>
            <w:r w:rsidRPr="008B6D85">
              <w:t xml:space="preserve"> ber om godkjenning fra ditt selskap/lisensen til å krysse en rørledning som du eier/driver</w:t>
            </w:r>
          </w:p>
        </w:tc>
        <w:tc>
          <w:tcPr>
            <w:tcW w:w="6615" w:type="dxa"/>
            <w:tcBorders>
              <w:bottom w:val="single" w:sz="4" w:space="0" w:color="auto"/>
            </w:tcBorders>
          </w:tcPr>
          <w:p w:rsidR="00B96573" w:rsidRPr="008B6D85" w:rsidRDefault="00B96573" w:rsidP="006D0BBB">
            <w:r w:rsidRPr="008B6D85">
              <w:t xml:space="preserve">Anbefalte tiltak: </w:t>
            </w:r>
          </w:p>
          <w:p w:rsidR="00B96573" w:rsidRPr="008B6D85" w:rsidRDefault="00B96573" w:rsidP="006D0BBB"/>
          <w:p w:rsidR="00B96573" w:rsidRPr="008B6D85" w:rsidRDefault="00B96573" w:rsidP="006D0BBB">
            <w:r w:rsidRPr="008B6D85">
              <w:t xml:space="preserve">Vurder om den krysningen som foreslås og anmodes om, er akseptabel for ditt selskap/lisensen. </w:t>
            </w:r>
          </w:p>
          <w:p w:rsidR="00B96573" w:rsidRPr="008B6D85" w:rsidRDefault="00B96573" w:rsidP="006D0BBB"/>
          <w:p w:rsidR="00B96573" w:rsidRPr="008B6D85" w:rsidRDefault="00B96573" w:rsidP="006D0BBB">
            <w:r w:rsidRPr="008B6D85">
              <w:t>Dersom det identifiseres mulige kommersielle problemer eller HMS-problemer i tilknytning til tilslutningsoperasjonen, ta kontakt med relevant personell (inkludert juridisk personell om nødvendig) for å vurdere om problemene er av en slik art at de gir ditt selskap/lisensen rett til å avslå en slik krysning, eller om problemene kan løses gjennom avtalte utbedringstiltak. Relevant regelverk i forbindelse med denne vurderingen er petroleumsloven § 3-12 og rammeforskriften § 47.</w:t>
            </w:r>
          </w:p>
          <w:p w:rsidR="00B96573" w:rsidRPr="008B6D85" w:rsidRDefault="00B96573" w:rsidP="006D0BBB"/>
          <w:p w:rsidR="00B96573" w:rsidRPr="008B6D85" w:rsidRDefault="00B96573" w:rsidP="006D0BBB">
            <w:r w:rsidRPr="008B6D85">
              <w:t>Dersom krysningen er akseptabel, bør det foreslås å bruke standard PCA. Når utkastet mottas fra tredjeparten, bør det vurderes i henhold til punkt 3 nedenfor.</w:t>
            </w:r>
          </w:p>
          <w:p w:rsidR="00B96573" w:rsidRPr="008B6D85" w:rsidRDefault="00B96573" w:rsidP="006D0BBB"/>
          <w:p w:rsidR="00B96573" w:rsidRPr="008B6D85" w:rsidRDefault="00B96573" w:rsidP="006D0BBB">
            <w:r w:rsidRPr="008B6D85">
              <w:t>Relevant personell i ditt selskap og/eller lisens bør informeres om anmodningen fra tredjeparten.</w:t>
            </w:r>
          </w:p>
          <w:p w:rsidR="00B96573" w:rsidRPr="008B6D85" w:rsidRDefault="00B96573" w:rsidP="006D0BBB"/>
        </w:tc>
      </w:tr>
      <w:tr w:rsidR="00B96573" w:rsidRPr="008B6D85" w:rsidTr="006D0BBB">
        <w:tc>
          <w:tcPr>
            <w:tcW w:w="675" w:type="dxa"/>
            <w:shd w:val="clear" w:color="auto" w:fill="C6D9F1" w:themeFill="text2" w:themeFillTint="33"/>
          </w:tcPr>
          <w:p w:rsidR="00B96573" w:rsidRPr="008B6D85" w:rsidRDefault="00B96573" w:rsidP="006D0BBB">
            <w:r w:rsidRPr="008B6D85">
              <w:t>3</w:t>
            </w:r>
          </w:p>
        </w:tc>
        <w:tc>
          <w:tcPr>
            <w:tcW w:w="2410" w:type="dxa"/>
            <w:shd w:val="clear" w:color="auto" w:fill="C6D9F1" w:themeFill="text2" w:themeFillTint="33"/>
          </w:tcPr>
          <w:p w:rsidR="00B96573" w:rsidRPr="008B6D85" w:rsidRDefault="00B96573" w:rsidP="006D0BBB">
            <w:pPr>
              <w:rPr>
                <w:b/>
              </w:rPr>
            </w:pPr>
            <w:r w:rsidRPr="008B6D85">
              <w:rPr>
                <w:b/>
              </w:rPr>
              <w:t>Utarbeiding av PCA</w:t>
            </w:r>
          </w:p>
        </w:tc>
        <w:tc>
          <w:tcPr>
            <w:tcW w:w="6615" w:type="dxa"/>
            <w:shd w:val="clear" w:color="auto" w:fill="C6D9F1" w:themeFill="text2" w:themeFillTint="33"/>
          </w:tcPr>
          <w:p w:rsidR="00B96573" w:rsidRPr="008B6D85" w:rsidRDefault="00B96573" w:rsidP="006D0BBB">
            <w:pPr>
              <w:pStyle w:val="Default"/>
              <w:rPr>
                <w:lang w:val="nb-NO"/>
              </w:rPr>
            </w:pPr>
          </w:p>
        </w:tc>
      </w:tr>
      <w:tr w:rsidR="00B96573" w:rsidRPr="008B6D85" w:rsidTr="006D0BBB">
        <w:tc>
          <w:tcPr>
            <w:tcW w:w="675" w:type="dxa"/>
          </w:tcPr>
          <w:p w:rsidR="00B96573" w:rsidRPr="008B6D85" w:rsidRDefault="00B96573" w:rsidP="006D0BBB">
            <w:r w:rsidRPr="008B6D85">
              <w:t>3 A</w:t>
            </w:r>
          </w:p>
        </w:tc>
        <w:tc>
          <w:tcPr>
            <w:tcW w:w="2410" w:type="dxa"/>
          </w:tcPr>
          <w:p w:rsidR="00B96573" w:rsidRPr="008B6D85" w:rsidRDefault="00B96573" w:rsidP="006D0BBB">
            <w:r w:rsidRPr="008B6D85">
              <w:t>PCA-struktur</w:t>
            </w:r>
          </w:p>
        </w:tc>
        <w:tc>
          <w:tcPr>
            <w:tcW w:w="6615" w:type="dxa"/>
          </w:tcPr>
          <w:p w:rsidR="00B96573" w:rsidRPr="008B6D85" w:rsidRDefault="00B96573" w:rsidP="006D0BBB">
            <w:pPr>
              <w:pStyle w:val="Default"/>
              <w:rPr>
                <w:lang w:val="nb-NO"/>
              </w:rPr>
            </w:pPr>
            <w:r w:rsidRPr="008B6D85">
              <w:rPr>
                <w:lang w:val="nb-NO"/>
              </w:rPr>
              <w:t xml:space="preserve">PCAen er delt opp i flere deler: </w:t>
            </w:r>
          </w:p>
          <w:p w:rsidR="00B96573" w:rsidRPr="008B6D85" w:rsidRDefault="00B96573" w:rsidP="006D0BBB">
            <w:pPr>
              <w:pStyle w:val="Default"/>
              <w:rPr>
                <w:lang w:val="nb-NO"/>
              </w:rPr>
            </w:pPr>
          </w:p>
          <w:p w:rsidR="00B96573" w:rsidRPr="006E5A44" w:rsidRDefault="00B96573" w:rsidP="006D0BBB">
            <w:pPr>
              <w:pStyle w:val="Default"/>
              <w:numPr>
                <w:ilvl w:val="0"/>
                <w:numId w:val="2"/>
              </w:numPr>
            </w:pPr>
            <w:r w:rsidRPr="006E5A44">
              <w:lastRenderedPageBreak/>
              <w:t>Særvilkår og -betingelser (Special terms and conditions - STC)</w:t>
            </w:r>
          </w:p>
          <w:p w:rsidR="00B96573" w:rsidRPr="008B6D85" w:rsidRDefault="00B96573" w:rsidP="006D0BBB">
            <w:pPr>
              <w:pStyle w:val="Default"/>
              <w:numPr>
                <w:ilvl w:val="0"/>
                <w:numId w:val="2"/>
              </w:numPr>
              <w:rPr>
                <w:lang w:val="nb-NO"/>
              </w:rPr>
            </w:pPr>
            <w:r w:rsidRPr="008B6D85">
              <w:rPr>
                <w:lang w:val="nb-NO"/>
              </w:rPr>
              <w:t>Vedlegg A - Generelle vilkår og betingelser (General terms and conditions - GTC)</w:t>
            </w:r>
          </w:p>
          <w:p w:rsidR="00B96573" w:rsidRPr="008B6D85" w:rsidRDefault="00B96573" w:rsidP="006D0BBB">
            <w:pPr>
              <w:pStyle w:val="Default"/>
              <w:numPr>
                <w:ilvl w:val="0"/>
                <w:numId w:val="2"/>
              </w:numPr>
              <w:rPr>
                <w:lang w:val="nb-NO"/>
              </w:rPr>
            </w:pPr>
            <w:r w:rsidRPr="008B6D85">
              <w:rPr>
                <w:lang w:val="nb-NO"/>
              </w:rPr>
              <w:t xml:space="preserve">Vedlegg B - Planlagt trasé for en kryssende rørledning og krysningspunkt(er) </w:t>
            </w:r>
          </w:p>
          <w:p w:rsidR="00B96573" w:rsidRPr="008B6D85" w:rsidRDefault="00B96573" w:rsidP="006D0BBB">
            <w:pPr>
              <w:pStyle w:val="Default"/>
              <w:numPr>
                <w:ilvl w:val="0"/>
                <w:numId w:val="2"/>
              </w:numPr>
              <w:rPr>
                <w:lang w:val="nb-NO"/>
              </w:rPr>
            </w:pPr>
            <w:r w:rsidRPr="008B6D85">
              <w:rPr>
                <w:lang w:val="nb-NO"/>
              </w:rPr>
              <w:t>Vedlegg C - Rørleggingsoperasjon</w:t>
            </w:r>
          </w:p>
          <w:p w:rsidR="00B96573" w:rsidRPr="008B6D85" w:rsidRDefault="00B96573" w:rsidP="006D0BBB">
            <w:pPr>
              <w:pStyle w:val="Default"/>
              <w:rPr>
                <w:lang w:val="nb-NO"/>
              </w:rPr>
            </w:pPr>
          </w:p>
        </w:tc>
      </w:tr>
      <w:tr w:rsidR="00B96573" w:rsidRPr="008B6D85" w:rsidTr="006D0BBB">
        <w:tc>
          <w:tcPr>
            <w:tcW w:w="675" w:type="dxa"/>
          </w:tcPr>
          <w:p w:rsidR="00B96573" w:rsidRPr="008B6D85" w:rsidRDefault="00B96573" w:rsidP="006D0BBB">
            <w:r w:rsidRPr="008B6D85">
              <w:lastRenderedPageBreak/>
              <w:t>3 B</w:t>
            </w:r>
          </w:p>
        </w:tc>
        <w:tc>
          <w:tcPr>
            <w:tcW w:w="2410" w:type="dxa"/>
          </w:tcPr>
          <w:p w:rsidR="00B96573" w:rsidRPr="008B6D85" w:rsidRDefault="00B96573" w:rsidP="006D0BBB">
            <w:r w:rsidRPr="008B6D85">
              <w:t>STC</w:t>
            </w:r>
          </w:p>
        </w:tc>
        <w:tc>
          <w:tcPr>
            <w:tcW w:w="6615" w:type="dxa"/>
          </w:tcPr>
          <w:p w:rsidR="00B96573" w:rsidRPr="008B6D85" w:rsidRDefault="00B96573" w:rsidP="006D0BBB">
            <w:pPr>
              <w:pStyle w:val="Default"/>
              <w:rPr>
                <w:lang w:val="nb-NO"/>
              </w:rPr>
            </w:pPr>
            <w:r w:rsidRPr="008B6D85">
              <w:rPr>
                <w:lang w:val="nb-NO"/>
              </w:rPr>
              <w:t xml:space="preserve">STCen beskriver partene og de nærmere detaljene ved den enkelte krysningen. </w:t>
            </w:r>
          </w:p>
          <w:p w:rsidR="00B96573" w:rsidRPr="008B6D85" w:rsidRDefault="00B96573" w:rsidP="006D0BBB">
            <w:pPr>
              <w:pStyle w:val="Default"/>
              <w:rPr>
                <w:lang w:val="nb-NO"/>
              </w:rPr>
            </w:pPr>
          </w:p>
          <w:p w:rsidR="00B96573" w:rsidRPr="008B6D85" w:rsidRDefault="00B96573" w:rsidP="006D0BBB">
            <w:pPr>
              <w:pStyle w:val="Default"/>
              <w:rPr>
                <w:lang w:val="nb-NO"/>
              </w:rPr>
            </w:pPr>
            <w:r w:rsidRPr="008B6D85">
              <w:rPr>
                <w:lang w:val="nb-NO"/>
              </w:rPr>
              <w:t>De nærmere detaljene (åpne felt i standard-PCAen) må fylles ut riktig. Spesifikasjonene for krysningen må settes inn av parten som planlegger operasjonen.</w:t>
            </w:r>
          </w:p>
          <w:p w:rsidR="00B96573" w:rsidRPr="008B6D85" w:rsidRDefault="00B96573" w:rsidP="006D0BBB">
            <w:pPr>
              <w:pStyle w:val="Default"/>
              <w:rPr>
                <w:lang w:val="nb-NO"/>
              </w:rPr>
            </w:pPr>
          </w:p>
          <w:p w:rsidR="00B96573" w:rsidRPr="008B6D85" w:rsidRDefault="00B96573" w:rsidP="006D0BBB">
            <w:pPr>
              <w:pStyle w:val="Default"/>
              <w:rPr>
                <w:lang w:val="nb-NO"/>
              </w:rPr>
            </w:pPr>
            <w:r w:rsidRPr="008B6D85">
              <w:rPr>
                <w:lang w:val="nb-NO"/>
              </w:rPr>
              <w:t xml:space="preserve">I tilfelle tredjeparten setter inn tilleggspunkter i STCen, anbefales det å be om at tredjeparten gir en begrunnelse for de foreslåtte avvikene/tilleggene. Når en slik begrunnelse mottas, bør den vurderes av relevant personell (og juridisk personell om nødvendig). </w:t>
            </w:r>
          </w:p>
          <w:p w:rsidR="00B96573" w:rsidRPr="008B6D85" w:rsidRDefault="00B96573" w:rsidP="006D0BBB">
            <w:pPr>
              <w:pStyle w:val="Default"/>
              <w:rPr>
                <w:lang w:val="nb-NO"/>
              </w:rPr>
            </w:pPr>
          </w:p>
        </w:tc>
      </w:tr>
      <w:tr w:rsidR="00B96573" w:rsidRPr="008B6D85" w:rsidTr="006D0BBB">
        <w:tc>
          <w:tcPr>
            <w:tcW w:w="675" w:type="dxa"/>
          </w:tcPr>
          <w:p w:rsidR="00B96573" w:rsidRPr="008B6D85" w:rsidRDefault="00B96573" w:rsidP="006D0BBB">
            <w:r w:rsidRPr="008B6D85">
              <w:t>3 C</w:t>
            </w:r>
          </w:p>
        </w:tc>
        <w:tc>
          <w:tcPr>
            <w:tcW w:w="2410" w:type="dxa"/>
          </w:tcPr>
          <w:p w:rsidR="00B96573" w:rsidRPr="008B6D85" w:rsidRDefault="00B96573" w:rsidP="006D0BBB">
            <w:r w:rsidRPr="008B6D85">
              <w:t>GTC</w:t>
            </w:r>
          </w:p>
          <w:p w:rsidR="00B96573" w:rsidRPr="008B6D85" w:rsidRDefault="00B96573" w:rsidP="006D0BBB"/>
        </w:tc>
        <w:tc>
          <w:tcPr>
            <w:tcW w:w="6615" w:type="dxa"/>
          </w:tcPr>
          <w:p w:rsidR="00B96573" w:rsidRPr="008B6D85" w:rsidRDefault="00B96573" w:rsidP="006D0BBB">
            <w:pPr>
              <w:pStyle w:val="Default"/>
              <w:rPr>
                <w:lang w:val="nb-NO"/>
              </w:rPr>
            </w:pPr>
            <w:r w:rsidRPr="008B6D85">
              <w:rPr>
                <w:lang w:val="nb-NO"/>
              </w:rPr>
              <w:t xml:space="preserve">GTCen bør i utgangspunktet være slik det er fastsatt i vedlegg A til PAen, ettersom ingen endringer eller justeringer normalt er påkrevd. </w:t>
            </w:r>
          </w:p>
          <w:p w:rsidR="00B96573" w:rsidRPr="008B6D85" w:rsidRDefault="00B96573" w:rsidP="006D0BBB">
            <w:pPr>
              <w:pStyle w:val="Default"/>
              <w:rPr>
                <w:lang w:val="nb-NO"/>
              </w:rPr>
            </w:pPr>
          </w:p>
          <w:p w:rsidR="00B96573" w:rsidRPr="008B6D85" w:rsidRDefault="00B96573" w:rsidP="006D0BBB">
            <w:pPr>
              <w:pStyle w:val="Default"/>
              <w:rPr>
                <w:lang w:val="nb-NO"/>
              </w:rPr>
            </w:pPr>
            <w:r w:rsidRPr="008B6D85">
              <w:rPr>
                <w:lang w:val="nb-NO"/>
              </w:rPr>
              <w:t xml:space="preserve">GTCen bør imidlertid i alle tilfeller gjennomgås i lys av den planlagte krysningen, for å kontrollere at vilkårene passer til den enkelte situasjonen (særlig vilkårene som omfatter bestemte frister). </w:t>
            </w:r>
          </w:p>
          <w:p w:rsidR="00B96573" w:rsidRPr="008B6D85" w:rsidRDefault="00B96573" w:rsidP="006D0BBB">
            <w:pPr>
              <w:pStyle w:val="Default"/>
              <w:rPr>
                <w:lang w:val="nb-NO"/>
              </w:rPr>
            </w:pPr>
          </w:p>
          <w:p w:rsidR="00B96573" w:rsidRPr="008B6D85" w:rsidRDefault="00B96573" w:rsidP="006D0BBB">
            <w:pPr>
              <w:pStyle w:val="Default"/>
              <w:rPr>
                <w:lang w:val="nb-NO"/>
              </w:rPr>
            </w:pPr>
            <w:r w:rsidRPr="008B6D85">
              <w:rPr>
                <w:lang w:val="nb-NO"/>
              </w:rPr>
              <w:t>Målet er, i den grad det er mulig, å unngå eventuelle (re)forhandlinger av GTC. Men om en bestemt krysning gjør det nødvendig å avvike fra GTC, bør dette nevnes i særvilkårene. I tilfelle det anses nødvendig å avvike fra GTC eller tredjeparten ber om det, ta kontakt med relevant personell (og juridisk legal personell om nødvendig).</w:t>
            </w:r>
          </w:p>
          <w:p w:rsidR="00B96573" w:rsidRPr="008B6D85" w:rsidRDefault="00B96573" w:rsidP="006D0BBB">
            <w:pPr>
              <w:pStyle w:val="Default"/>
              <w:rPr>
                <w:lang w:val="nb-NO"/>
              </w:rPr>
            </w:pPr>
          </w:p>
        </w:tc>
      </w:tr>
      <w:tr w:rsidR="00B96573" w:rsidRPr="008B6D85" w:rsidTr="006D0BBB">
        <w:tc>
          <w:tcPr>
            <w:tcW w:w="675" w:type="dxa"/>
            <w:tcBorders>
              <w:bottom w:val="single" w:sz="4" w:space="0" w:color="auto"/>
            </w:tcBorders>
          </w:tcPr>
          <w:p w:rsidR="00B96573" w:rsidRPr="008B6D85" w:rsidRDefault="00B96573" w:rsidP="006D0BBB">
            <w:r w:rsidRPr="008B6D85">
              <w:t>3 D</w:t>
            </w:r>
          </w:p>
        </w:tc>
        <w:tc>
          <w:tcPr>
            <w:tcW w:w="2410" w:type="dxa"/>
            <w:tcBorders>
              <w:bottom w:val="single" w:sz="4" w:space="0" w:color="auto"/>
            </w:tcBorders>
          </w:tcPr>
          <w:p w:rsidR="00B96573" w:rsidRPr="008B6D85" w:rsidRDefault="00B96573" w:rsidP="006D0BBB">
            <w:r w:rsidRPr="008B6D85">
              <w:t>Vedlegg B og C</w:t>
            </w:r>
          </w:p>
        </w:tc>
        <w:tc>
          <w:tcPr>
            <w:tcW w:w="6615" w:type="dxa"/>
            <w:tcBorders>
              <w:bottom w:val="single" w:sz="4" w:space="0" w:color="auto"/>
            </w:tcBorders>
          </w:tcPr>
          <w:p w:rsidR="00B96573" w:rsidRPr="008B6D85" w:rsidRDefault="00B96573" w:rsidP="006D0BBB">
            <w:pPr>
              <w:pStyle w:val="Default"/>
              <w:rPr>
                <w:lang w:val="nb-NO"/>
              </w:rPr>
            </w:pPr>
            <w:r w:rsidRPr="008B6D85">
              <w:rPr>
                <w:lang w:val="nb-NO"/>
              </w:rPr>
              <w:t xml:space="preserve">Disse vedleggene som beskriver den planlagte traseen, krysningspunkter og rørleggingsoperasjonen, er særegne for </w:t>
            </w:r>
            <w:r w:rsidRPr="008B6D85">
              <w:rPr>
                <w:lang w:val="nb-NO"/>
              </w:rPr>
              <w:lastRenderedPageBreak/>
              <w:t xml:space="preserve">hvert tilfelle, og de må utarbeides og leveres av parten som utfører operasjonen. </w:t>
            </w:r>
          </w:p>
          <w:p w:rsidR="00B96573" w:rsidRPr="008B6D85" w:rsidRDefault="00B96573" w:rsidP="006D0BBB">
            <w:pPr>
              <w:pStyle w:val="Default"/>
              <w:rPr>
                <w:lang w:val="nb-NO"/>
              </w:rPr>
            </w:pPr>
          </w:p>
          <w:p w:rsidR="00B96573" w:rsidRPr="008B6D85" w:rsidRDefault="00B96573" w:rsidP="006D0BBB">
            <w:pPr>
              <w:pStyle w:val="Default"/>
              <w:rPr>
                <w:lang w:val="nb-NO"/>
              </w:rPr>
            </w:pPr>
            <w:r w:rsidRPr="008B6D85">
              <w:rPr>
                <w:lang w:val="nb-NO"/>
              </w:rPr>
              <w:t>Formålet med vedlegg C (Rørleggingsoperasjon) er å gi en beskrivelse av rørleggingsoperasjonen på høyt nivå, uten unødvendige detaljer (normalt er 2-3 sider nok). Utvekslingen av krysningsmønster og driftsprosedyrer o.l. for godkjenning av den berørte parten, finner sted etter at PCAen er blitt undertegnet, jf. artikkel 2.2 i GTC.</w:t>
            </w:r>
          </w:p>
          <w:p w:rsidR="00B96573" w:rsidRPr="008B6D85" w:rsidRDefault="00B96573" w:rsidP="006D0BBB">
            <w:pPr>
              <w:pStyle w:val="Default"/>
              <w:rPr>
                <w:lang w:val="nb-NO"/>
              </w:rPr>
            </w:pPr>
          </w:p>
          <w:p w:rsidR="00B96573" w:rsidRPr="008B6D85" w:rsidRDefault="00B96573" w:rsidP="006D0BBB">
            <w:pPr>
              <w:pStyle w:val="Default"/>
              <w:rPr>
                <w:lang w:val="nb-NO"/>
              </w:rPr>
            </w:pPr>
            <w:r w:rsidRPr="008B6D85">
              <w:rPr>
                <w:lang w:val="nb-NO"/>
              </w:rPr>
              <w:t xml:space="preserve">I forbindelse med krysning av rørledninger som opereres av Gassco, krever Gassco rutinemessig at Gasscos egne tekniske krav for rørledningskrysning vedlegges som et vedlegg D, og at dette prioriteres foran vedlegg C.  </w:t>
            </w:r>
          </w:p>
        </w:tc>
      </w:tr>
      <w:tr w:rsidR="00B96573" w:rsidRPr="008B6D85" w:rsidTr="006D0BBB">
        <w:tc>
          <w:tcPr>
            <w:tcW w:w="675" w:type="dxa"/>
            <w:shd w:val="clear" w:color="auto" w:fill="C6D9F1" w:themeFill="text2" w:themeFillTint="33"/>
          </w:tcPr>
          <w:p w:rsidR="00B96573" w:rsidRPr="008B6D85" w:rsidRDefault="00B96573" w:rsidP="006D0BBB">
            <w:r w:rsidRPr="008B6D85">
              <w:lastRenderedPageBreak/>
              <w:t>4</w:t>
            </w:r>
          </w:p>
        </w:tc>
        <w:tc>
          <w:tcPr>
            <w:tcW w:w="2410" w:type="dxa"/>
            <w:shd w:val="clear" w:color="auto" w:fill="C6D9F1" w:themeFill="text2" w:themeFillTint="33"/>
          </w:tcPr>
          <w:p w:rsidR="00B96573" w:rsidRPr="008B6D85" w:rsidRDefault="00B96573" w:rsidP="006D0BBB">
            <w:pPr>
              <w:rPr>
                <w:b/>
              </w:rPr>
            </w:pPr>
            <w:r w:rsidRPr="008B6D85">
              <w:rPr>
                <w:b/>
              </w:rPr>
              <w:t>Godkjenning og gjennomføring av PCA</w:t>
            </w:r>
          </w:p>
          <w:p w:rsidR="00B96573" w:rsidRPr="008B6D85" w:rsidRDefault="00B96573" w:rsidP="006D0BBB">
            <w:r w:rsidRPr="008B6D85">
              <w:t>(når PCA sluttføres)</w:t>
            </w:r>
          </w:p>
        </w:tc>
        <w:tc>
          <w:tcPr>
            <w:tcW w:w="6615" w:type="dxa"/>
            <w:shd w:val="clear" w:color="auto" w:fill="C6D9F1" w:themeFill="text2" w:themeFillTint="33"/>
          </w:tcPr>
          <w:p w:rsidR="00B96573" w:rsidRPr="008B6D85" w:rsidRDefault="00B96573" w:rsidP="006D0BBB"/>
        </w:tc>
      </w:tr>
      <w:tr w:rsidR="00B96573" w:rsidRPr="008B6D85" w:rsidTr="006D0BBB">
        <w:tc>
          <w:tcPr>
            <w:tcW w:w="675" w:type="dxa"/>
          </w:tcPr>
          <w:p w:rsidR="00B96573" w:rsidRPr="008B6D85" w:rsidRDefault="00B96573" w:rsidP="006D0BBB">
            <w:r w:rsidRPr="008B6D85">
              <w:t>4 A</w:t>
            </w:r>
          </w:p>
        </w:tc>
        <w:tc>
          <w:tcPr>
            <w:tcW w:w="2410" w:type="dxa"/>
          </w:tcPr>
          <w:p w:rsidR="00B96573" w:rsidRPr="008B6D85" w:rsidRDefault="00B96573" w:rsidP="006D0BBB">
            <w:r w:rsidRPr="008B6D85">
              <w:t xml:space="preserve">Godkjenning </w:t>
            </w:r>
          </w:p>
        </w:tc>
        <w:tc>
          <w:tcPr>
            <w:tcW w:w="6615" w:type="dxa"/>
          </w:tcPr>
          <w:p w:rsidR="00B96573" w:rsidRPr="008B6D85" w:rsidRDefault="00B96573" w:rsidP="006D0BBB">
            <w:r w:rsidRPr="008B6D85">
              <w:t xml:space="preserve">Godkjenning må innhentes fra relevant selskapsrepresentant. </w:t>
            </w:r>
          </w:p>
          <w:p w:rsidR="00B96573" w:rsidRPr="008B6D85" w:rsidRDefault="00B96573" w:rsidP="006D0BBB"/>
          <w:p w:rsidR="00B96573" w:rsidRPr="008B6D85" w:rsidRDefault="00B96573" w:rsidP="006D0BBB">
            <w:r w:rsidRPr="008B6D85">
              <w:t xml:space="preserve">Dersom PCAen skal godkjennes på vegne av en lisens, må følgende utføres før PCAen inngås: </w:t>
            </w:r>
          </w:p>
          <w:p w:rsidR="00B96573" w:rsidRPr="008B6D85" w:rsidRDefault="00B96573" w:rsidP="006D0BBB">
            <w:pPr>
              <w:pStyle w:val="Listeavsnitt"/>
              <w:numPr>
                <w:ilvl w:val="0"/>
                <w:numId w:val="4"/>
              </w:numPr>
            </w:pPr>
            <w:r w:rsidRPr="008B6D85">
              <w:t xml:space="preserve">Kontroller om styringskomiteen for lisensen har godkjent at operatøren inngår PCAer uten ytterligere vedtak i styringskomiteen for hver enkelt PCA.  </w:t>
            </w:r>
          </w:p>
          <w:p w:rsidR="00B96573" w:rsidRPr="008B6D85" w:rsidRDefault="00B96573" w:rsidP="006D0BBB">
            <w:pPr>
              <w:pStyle w:val="Listeavsnitt"/>
              <w:numPr>
                <w:ilvl w:val="1"/>
                <w:numId w:val="4"/>
              </w:numPr>
            </w:pPr>
            <w:r w:rsidRPr="008B6D85">
              <w:t xml:space="preserve">Dersom slik godkjenning gis, kan operatøren inngå PCAen i samsvar med den generelle godkjenningen, og det er tilstrekkelig å legge ut den sluttførte og avtalte PCAen på den relevante Licence2Share for informasjonsformål. </w:t>
            </w:r>
          </w:p>
          <w:p w:rsidR="00B96573" w:rsidRPr="008B6D85" w:rsidRDefault="00B96573" w:rsidP="006D0BBB">
            <w:pPr>
              <w:pStyle w:val="Listeavsnitt"/>
              <w:numPr>
                <w:ilvl w:val="1"/>
                <w:numId w:val="4"/>
              </w:numPr>
            </w:pPr>
            <w:r w:rsidRPr="008B6D85">
              <w:t>Dersom slik godkjenning ikke er gitt, må operatøren be styringskomiteen om slik godkjenning før PCAen inngås.</w:t>
            </w:r>
          </w:p>
          <w:p w:rsidR="00B96573" w:rsidRPr="008B6D85" w:rsidRDefault="00B96573" w:rsidP="006D0BBB"/>
        </w:tc>
      </w:tr>
      <w:tr w:rsidR="00B96573" w:rsidRPr="008B6D85" w:rsidTr="006D0BBB">
        <w:tc>
          <w:tcPr>
            <w:tcW w:w="675" w:type="dxa"/>
          </w:tcPr>
          <w:p w:rsidR="00B96573" w:rsidRPr="008B6D85" w:rsidRDefault="00B96573" w:rsidP="006D0BBB">
            <w:r w:rsidRPr="008B6D85">
              <w:t>4 B</w:t>
            </w:r>
          </w:p>
        </w:tc>
        <w:tc>
          <w:tcPr>
            <w:tcW w:w="2410" w:type="dxa"/>
          </w:tcPr>
          <w:p w:rsidR="00B96573" w:rsidRPr="008B6D85" w:rsidRDefault="00B96573" w:rsidP="006D0BBB">
            <w:r w:rsidRPr="008B6D85">
              <w:t>Undertegning</w:t>
            </w:r>
          </w:p>
        </w:tc>
        <w:tc>
          <w:tcPr>
            <w:tcW w:w="6615" w:type="dxa"/>
          </w:tcPr>
          <w:p w:rsidR="00B96573" w:rsidRPr="008B6D85" w:rsidRDefault="00B96573" w:rsidP="006D0BBB">
            <w:r w:rsidRPr="008B6D85">
              <w:t>Med hensyn til undertegning av PCAen som et uavhengig selskap eller som en operatør for den utførende parten eller den berørte parten, må dette gjøres av en person som har rett til å undertegne denne avtalen på vegne av selskapet. Alternativt må det innhentes fullmakt til å undertegne PCAen fra en person som har rett til å undertegne avtalen.</w:t>
            </w:r>
          </w:p>
          <w:p w:rsidR="00B96573" w:rsidRPr="008B6D85" w:rsidRDefault="00B96573" w:rsidP="006D0BBB"/>
          <w:p w:rsidR="00B96573" w:rsidRPr="008B6D85" w:rsidRDefault="00B96573" w:rsidP="006D0BBB">
            <w:r w:rsidRPr="008B6D85">
              <w:t>Kontroller at den andre parten undertegner PCAen og at denne kontrasignerte versjonen returneres til ditt selskap/lisens.</w:t>
            </w:r>
          </w:p>
        </w:tc>
      </w:tr>
      <w:tr w:rsidR="00B96573" w:rsidRPr="008B6D85" w:rsidTr="006D0BBB">
        <w:tc>
          <w:tcPr>
            <w:tcW w:w="675" w:type="dxa"/>
          </w:tcPr>
          <w:p w:rsidR="00B96573" w:rsidRPr="008B6D85" w:rsidRDefault="00B96573" w:rsidP="006D0BBB">
            <w:r w:rsidRPr="008B6D85">
              <w:lastRenderedPageBreak/>
              <w:t>4 C</w:t>
            </w:r>
          </w:p>
        </w:tc>
        <w:tc>
          <w:tcPr>
            <w:tcW w:w="2410" w:type="dxa"/>
          </w:tcPr>
          <w:p w:rsidR="00B96573" w:rsidRPr="008B6D85" w:rsidRDefault="00B96573" w:rsidP="006D0BBB">
            <w:r w:rsidRPr="008B6D85">
              <w:t>Arkivering</w:t>
            </w:r>
          </w:p>
        </w:tc>
        <w:tc>
          <w:tcPr>
            <w:tcW w:w="6615" w:type="dxa"/>
          </w:tcPr>
          <w:p w:rsidR="00B96573" w:rsidRPr="008B6D85" w:rsidRDefault="00B96573" w:rsidP="006D0BBB">
            <w:r w:rsidRPr="008B6D85">
              <w:t xml:space="preserve">Når PCAen er undertegnet av begge parter, må PCAen arkiveres. </w:t>
            </w:r>
          </w:p>
        </w:tc>
      </w:tr>
    </w:tbl>
    <w:p w:rsidR="00B96573" w:rsidRPr="008B6D85" w:rsidRDefault="00B96573" w:rsidP="00B96573">
      <w:pPr>
        <w:spacing w:after="200" w:line="276" w:lineRule="auto"/>
      </w:pPr>
    </w:p>
    <w:sectPr w:rsidR="00B96573" w:rsidRPr="008B6D85" w:rsidSect="00226572">
      <w:footerReference w:type="default" r:id="rId13"/>
      <w:pgSz w:w="11907" w:h="16839" w:code="9"/>
      <w:pgMar w:top="1440" w:right="74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33F" w:rsidRPr="008B6D85" w:rsidRDefault="008C433F" w:rsidP="00A97C63">
      <w:r w:rsidRPr="008B6D85">
        <w:separator/>
      </w:r>
    </w:p>
  </w:endnote>
  <w:endnote w:type="continuationSeparator" w:id="0">
    <w:p w:rsidR="008C433F" w:rsidRPr="008B6D85" w:rsidRDefault="008C433F" w:rsidP="00A97C63">
      <w:r w:rsidRPr="008B6D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72" w:rsidRPr="008B6D85" w:rsidRDefault="008F6896" w:rsidP="00CF34C0">
    <w:pPr>
      <w:tabs>
        <w:tab w:val="right" w:pos="10205"/>
      </w:tabs>
      <w:rPr>
        <w:color w:val="000000"/>
        <w:sz w:val="16"/>
        <w:szCs w:val="16"/>
      </w:rPr>
    </w:pPr>
    <w:r w:rsidRPr="008B6D85">
      <w:rPr>
        <w:color w:val="000000"/>
        <w:sz w:val="16"/>
        <w:szCs w:val="16"/>
      </w:rPr>
      <w:t>Sikkerhetsklassifisering: Begrenset - Status: Utkast</w:t>
    </w:r>
    <w:r w:rsidRPr="008B6D85">
      <w:tab/>
    </w:r>
    <w:r w:rsidRPr="008B6D85">
      <w:rPr>
        <w:color w:val="000000"/>
        <w:sz w:val="16"/>
        <w:szCs w:val="16"/>
      </w:rPr>
      <w:tab/>
      <w:t xml:space="preserve">Side </w:t>
    </w:r>
    <w:r w:rsidRPr="008B6D85">
      <w:rPr>
        <w:color w:val="000000"/>
        <w:sz w:val="16"/>
        <w:szCs w:val="16"/>
      </w:rPr>
      <w:fldChar w:fldCharType="begin"/>
    </w:r>
    <w:r w:rsidRPr="008B6D85">
      <w:rPr>
        <w:color w:val="000000"/>
        <w:sz w:val="16"/>
        <w:szCs w:val="16"/>
      </w:rPr>
      <w:instrText xml:space="preserve"> PAGE </w:instrText>
    </w:r>
    <w:r w:rsidRPr="008B6D85">
      <w:rPr>
        <w:color w:val="000000"/>
        <w:sz w:val="16"/>
        <w:szCs w:val="16"/>
      </w:rPr>
      <w:fldChar w:fldCharType="separate"/>
    </w:r>
    <w:r w:rsidR="00CC1C4B">
      <w:rPr>
        <w:noProof/>
        <w:color w:val="000000"/>
        <w:sz w:val="16"/>
        <w:szCs w:val="16"/>
      </w:rPr>
      <w:t>1</w:t>
    </w:r>
    <w:r w:rsidRPr="008B6D85">
      <w:rPr>
        <w:color w:val="000000"/>
        <w:sz w:val="16"/>
        <w:szCs w:val="16"/>
      </w:rPr>
      <w:fldChar w:fldCharType="end"/>
    </w:r>
    <w:r w:rsidRPr="008B6D85">
      <w:rPr>
        <w:color w:val="000000"/>
        <w:sz w:val="16"/>
        <w:szCs w:val="16"/>
      </w:rPr>
      <w:t xml:space="preserve"> av </w:t>
    </w:r>
    <w:r w:rsidRPr="008B6D85">
      <w:rPr>
        <w:color w:val="000000"/>
        <w:sz w:val="16"/>
        <w:szCs w:val="16"/>
      </w:rPr>
      <w:fldChar w:fldCharType="begin"/>
    </w:r>
    <w:r w:rsidRPr="008B6D85">
      <w:rPr>
        <w:color w:val="000000"/>
        <w:sz w:val="16"/>
        <w:szCs w:val="16"/>
      </w:rPr>
      <w:instrText xml:space="preserve"> NUMPAGES </w:instrText>
    </w:r>
    <w:r w:rsidRPr="008B6D85">
      <w:rPr>
        <w:color w:val="000000"/>
        <w:sz w:val="16"/>
        <w:szCs w:val="16"/>
      </w:rPr>
      <w:fldChar w:fldCharType="separate"/>
    </w:r>
    <w:r w:rsidR="00CC1C4B">
      <w:rPr>
        <w:noProof/>
        <w:color w:val="000000"/>
        <w:sz w:val="16"/>
        <w:szCs w:val="16"/>
      </w:rPr>
      <w:t>1</w:t>
    </w:r>
    <w:r w:rsidRPr="008B6D85">
      <w:rPr>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33F" w:rsidRPr="008B6D85" w:rsidRDefault="008C433F" w:rsidP="00A97C63">
      <w:r w:rsidRPr="008B6D85">
        <w:separator/>
      </w:r>
    </w:p>
  </w:footnote>
  <w:footnote w:type="continuationSeparator" w:id="0">
    <w:p w:rsidR="008C433F" w:rsidRPr="008B6D85" w:rsidRDefault="008C433F" w:rsidP="00A97C63">
      <w:r w:rsidRPr="008B6D85">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31920"/>
    <w:multiLevelType w:val="hybridMultilevel"/>
    <w:tmpl w:val="7AAEF124"/>
    <w:lvl w:ilvl="0" w:tplc="5C9ADE16">
      <w:start w:val="3"/>
      <w:numFmt w:val="bullet"/>
      <w:lvlText w:val="-"/>
      <w:lvlJc w:val="left"/>
      <w:pPr>
        <w:ind w:left="360" w:hanging="360"/>
      </w:pPr>
      <w:rPr>
        <w:rFonts w:ascii="Times New Roman" w:eastAsia="Times New Roman" w:hAnsi="Times New Roman" w:cs="Times New Roman" w:hint="default"/>
        <w:i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745276"/>
    <w:multiLevelType w:val="hybridMultilevel"/>
    <w:tmpl w:val="C4687EC2"/>
    <w:lvl w:ilvl="0" w:tplc="09241818">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5D943760"/>
    <w:multiLevelType w:val="multilevel"/>
    <w:tmpl w:val="CC78B8D0"/>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76E5742F"/>
    <w:multiLevelType w:val="hybridMultilevel"/>
    <w:tmpl w:val="D14845D6"/>
    <w:lvl w:ilvl="0" w:tplc="E878F9C0">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92"/>
    <w:rsid w:val="00032D45"/>
    <w:rsid w:val="00033A8E"/>
    <w:rsid w:val="00054A20"/>
    <w:rsid w:val="00084A06"/>
    <w:rsid w:val="0008635E"/>
    <w:rsid w:val="000B7392"/>
    <w:rsid w:val="00167A6F"/>
    <w:rsid w:val="001F6A9B"/>
    <w:rsid w:val="00226572"/>
    <w:rsid w:val="00235668"/>
    <w:rsid w:val="00290045"/>
    <w:rsid w:val="002C5E7D"/>
    <w:rsid w:val="002C65AF"/>
    <w:rsid w:val="00323E29"/>
    <w:rsid w:val="003A0324"/>
    <w:rsid w:val="003D471F"/>
    <w:rsid w:val="003E3723"/>
    <w:rsid w:val="00410D06"/>
    <w:rsid w:val="00434A50"/>
    <w:rsid w:val="00483AA0"/>
    <w:rsid w:val="004A1840"/>
    <w:rsid w:val="005062F3"/>
    <w:rsid w:val="00507D21"/>
    <w:rsid w:val="005540DA"/>
    <w:rsid w:val="00562AC7"/>
    <w:rsid w:val="005D1E13"/>
    <w:rsid w:val="005F1FF8"/>
    <w:rsid w:val="0063217D"/>
    <w:rsid w:val="0063718D"/>
    <w:rsid w:val="006538D2"/>
    <w:rsid w:val="00691312"/>
    <w:rsid w:val="006B6073"/>
    <w:rsid w:val="006B639B"/>
    <w:rsid w:val="006C756C"/>
    <w:rsid w:val="006D5492"/>
    <w:rsid w:val="006E5A44"/>
    <w:rsid w:val="006F5515"/>
    <w:rsid w:val="006F5859"/>
    <w:rsid w:val="00730679"/>
    <w:rsid w:val="007529A5"/>
    <w:rsid w:val="007755E5"/>
    <w:rsid w:val="00784E7E"/>
    <w:rsid w:val="007D559E"/>
    <w:rsid w:val="00897229"/>
    <w:rsid w:val="008B6D85"/>
    <w:rsid w:val="008C433F"/>
    <w:rsid w:val="008F6896"/>
    <w:rsid w:val="009044F2"/>
    <w:rsid w:val="009060DD"/>
    <w:rsid w:val="009555A1"/>
    <w:rsid w:val="00970E86"/>
    <w:rsid w:val="009A2550"/>
    <w:rsid w:val="009A372F"/>
    <w:rsid w:val="00A0344D"/>
    <w:rsid w:val="00A04772"/>
    <w:rsid w:val="00A114D5"/>
    <w:rsid w:val="00A13F3A"/>
    <w:rsid w:val="00A47683"/>
    <w:rsid w:val="00A5475E"/>
    <w:rsid w:val="00A72E66"/>
    <w:rsid w:val="00A817B7"/>
    <w:rsid w:val="00A97C63"/>
    <w:rsid w:val="00AA4652"/>
    <w:rsid w:val="00AD2FB5"/>
    <w:rsid w:val="00AE4270"/>
    <w:rsid w:val="00AE57E8"/>
    <w:rsid w:val="00AF281C"/>
    <w:rsid w:val="00AF37A9"/>
    <w:rsid w:val="00B5090C"/>
    <w:rsid w:val="00B73FCA"/>
    <w:rsid w:val="00B96573"/>
    <w:rsid w:val="00B96B86"/>
    <w:rsid w:val="00BB3325"/>
    <w:rsid w:val="00BC233B"/>
    <w:rsid w:val="00BC7942"/>
    <w:rsid w:val="00BF6C83"/>
    <w:rsid w:val="00C03CEF"/>
    <w:rsid w:val="00C1061C"/>
    <w:rsid w:val="00C5148C"/>
    <w:rsid w:val="00CC1C4B"/>
    <w:rsid w:val="00CF4A71"/>
    <w:rsid w:val="00D03B8B"/>
    <w:rsid w:val="00D36379"/>
    <w:rsid w:val="00D50C54"/>
    <w:rsid w:val="00DC6E53"/>
    <w:rsid w:val="00DD0F19"/>
    <w:rsid w:val="00DF4823"/>
    <w:rsid w:val="00E07BCE"/>
    <w:rsid w:val="00E33DF7"/>
    <w:rsid w:val="00E56EED"/>
    <w:rsid w:val="00E74DBB"/>
    <w:rsid w:val="00E917D1"/>
    <w:rsid w:val="00EE4A8D"/>
    <w:rsid w:val="00F75EDC"/>
    <w:rsid w:val="00F84876"/>
    <w:rsid w:val="00FA0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52AFBE-0409-403B-B38F-10E070C2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492"/>
    <w:pPr>
      <w:spacing w:after="0" w:line="240" w:lineRule="auto"/>
    </w:pPr>
    <w:rPr>
      <w:rFonts w:ascii="Times New Roman" w:eastAsia="Times New Roman" w:hAnsi="Times New Roman" w:cs="Times New Roman"/>
      <w:sz w:val="24"/>
      <w:szCs w:val="24"/>
      <w:lang w:val="nb-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6D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D5492"/>
    <w:pPr>
      <w:ind w:left="720"/>
      <w:contextualSpacing/>
    </w:pPr>
  </w:style>
  <w:style w:type="paragraph" w:customStyle="1" w:styleId="Default">
    <w:name w:val="Default"/>
    <w:rsid w:val="006D5492"/>
    <w:pPr>
      <w:autoSpaceDE w:val="0"/>
      <w:autoSpaceDN w:val="0"/>
      <w:adjustRightInd w:val="0"/>
      <w:spacing w:after="0" w:line="240" w:lineRule="auto"/>
    </w:pPr>
    <w:rPr>
      <w:rFonts w:ascii="Times New Roman" w:hAnsi="Times New Roman" w:cs="Times New Roman"/>
      <w:color w:val="000000"/>
      <w:sz w:val="24"/>
      <w:szCs w:val="24"/>
    </w:rPr>
  </w:style>
  <w:style w:type="character" w:styleId="Merknadsreferanse">
    <w:name w:val="annotation reference"/>
    <w:basedOn w:val="Standardskriftforavsnitt"/>
    <w:uiPriority w:val="99"/>
    <w:semiHidden/>
    <w:unhideWhenUsed/>
    <w:rsid w:val="00167A6F"/>
    <w:rPr>
      <w:sz w:val="16"/>
      <w:szCs w:val="16"/>
    </w:rPr>
  </w:style>
  <w:style w:type="paragraph" w:styleId="Merknadstekst">
    <w:name w:val="annotation text"/>
    <w:basedOn w:val="Normal"/>
    <w:link w:val="MerknadstekstTegn"/>
    <w:uiPriority w:val="99"/>
    <w:semiHidden/>
    <w:unhideWhenUsed/>
    <w:rsid w:val="00167A6F"/>
    <w:rPr>
      <w:sz w:val="20"/>
      <w:szCs w:val="20"/>
    </w:rPr>
  </w:style>
  <w:style w:type="character" w:customStyle="1" w:styleId="MerknadstekstTegn">
    <w:name w:val="Merknadstekst Tegn"/>
    <w:basedOn w:val="Standardskriftforavsnitt"/>
    <w:link w:val="Merknadstekst"/>
    <w:uiPriority w:val="99"/>
    <w:semiHidden/>
    <w:rsid w:val="00167A6F"/>
    <w:rPr>
      <w:rFonts w:ascii="Times New Roman" w:eastAsia="Times New Roman" w:hAnsi="Times New Roman" w:cs="Times New Roman"/>
      <w:sz w:val="20"/>
      <w:szCs w:val="20"/>
      <w:lang w:val="nb-NO" w:eastAsia="nb-NO"/>
    </w:rPr>
  </w:style>
  <w:style w:type="paragraph" w:styleId="Kommentaremne">
    <w:name w:val="annotation subject"/>
    <w:basedOn w:val="Merknadstekst"/>
    <w:next w:val="Merknadstekst"/>
    <w:link w:val="KommentaremneTegn"/>
    <w:uiPriority w:val="99"/>
    <w:semiHidden/>
    <w:unhideWhenUsed/>
    <w:rsid w:val="00167A6F"/>
    <w:rPr>
      <w:b/>
      <w:bCs/>
    </w:rPr>
  </w:style>
  <w:style w:type="character" w:customStyle="1" w:styleId="KommentaremneTegn">
    <w:name w:val="Kommentaremne Tegn"/>
    <w:basedOn w:val="MerknadstekstTegn"/>
    <w:link w:val="Kommentaremne"/>
    <w:uiPriority w:val="99"/>
    <w:semiHidden/>
    <w:rsid w:val="00167A6F"/>
    <w:rPr>
      <w:rFonts w:ascii="Times New Roman" w:eastAsia="Times New Roman" w:hAnsi="Times New Roman" w:cs="Times New Roman"/>
      <w:b/>
      <w:bCs/>
      <w:sz w:val="20"/>
      <w:szCs w:val="20"/>
      <w:lang w:val="nb-NO" w:eastAsia="nb-NO"/>
    </w:rPr>
  </w:style>
  <w:style w:type="paragraph" w:styleId="Bobletekst">
    <w:name w:val="Balloon Text"/>
    <w:basedOn w:val="Normal"/>
    <w:link w:val="BobletekstTegn"/>
    <w:uiPriority w:val="99"/>
    <w:semiHidden/>
    <w:unhideWhenUsed/>
    <w:rsid w:val="00167A6F"/>
    <w:rPr>
      <w:rFonts w:ascii="Tahoma" w:hAnsi="Tahoma" w:cs="Tahoma"/>
      <w:sz w:val="16"/>
      <w:szCs w:val="16"/>
    </w:rPr>
  </w:style>
  <w:style w:type="character" w:customStyle="1" w:styleId="BobletekstTegn">
    <w:name w:val="Bobletekst Tegn"/>
    <w:basedOn w:val="Standardskriftforavsnitt"/>
    <w:link w:val="Bobletekst"/>
    <w:uiPriority w:val="99"/>
    <w:semiHidden/>
    <w:rsid w:val="00167A6F"/>
    <w:rPr>
      <w:rFonts w:ascii="Tahoma" w:eastAsia="Times New Roman" w:hAnsi="Tahoma" w:cs="Tahoma"/>
      <w:sz w:val="16"/>
      <w:szCs w:val="16"/>
      <w:lang w:val="nb-NO" w:eastAsia="nb-NO"/>
    </w:rPr>
  </w:style>
  <w:style w:type="paragraph" w:styleId="Topptekst">
    <w:name w:val="header"/>
    <w:basedOn w:val="Normal"/>
    <w:link w:val="TopptekstTegn"/>
    <w:uiPriority w:val="99"/>
    <w:unhideWhenUsed/>
    <w:rsid w:val="00B96573"/>
    <w:pPr>
      <w:tabs>
        <w:tab w:val="center" w:pos="4536"/>
        <w:tab w:val="right" w:pos="9072"/>
      </w:tabs>
    </w:pPr>
  </w:style>
  <w:style w:type="character" w:customStyle="1" w:styleId="TopptekstTegn">
    <w:name w:val="Topptekst Tegn"/>
    <w:basedOn w:val="Standardskriftforavsnitt"/>
    <w:link w:val="Topptekst"/>
    <w:uiPriority w:val="99"/>
    <w:rsid w:val="00B96573"/>
    <w:rPr>
      <w:rFonts w:ascii="Times New Roman" w:eastAsia="Times New Roman" w:hAnsi="Times New Roman" w:cs="Times New Roman"/>
      <w:sz w:val="24"/>
      <w:szCs w:val="24"/>
      <w:lang w:val="nb-NO" w:eastAsia="nb-NO"/>
    </w:rPr>
  </w:style>
  <w:style w:type="paragraph" w:styleId="Bunntekst">
    <w:name w:val="footer"/>
    <w:basedOn w:val="Normal"/>
    <w:link w:val="BunntekstTegn"/>
    <w:uiPriority w:val="99"/>
    <w:unhideWhenUsed/>
    <w:rsid w:val="00B96573"/>
    <w:pPr>
      <w:tabs>
        <w:tab w:val="center" w:pos="4536"/>
        <w:tab w:val="right" w:pos="9072"/>
      </w:tabs>
    </w:pPr>
  </w:style>
  <w:style w:type="character" w:customStyle="1" w:styleId="BunntekstTegn">
    <w:name w:val="Bunntekst Tegn"/>
    <w:basedOn w:val="Standardskriftforavsnitt"/>
    <w:link w:val="Bunntekst"/>
    <w:uiPriority w:val="99"/>
    <w:rsid w:val="00B96573"/>
    <w:rPr>
      <w:rFonts w:ascii="Times New Roman" w:eastAsia="Times New Roman"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982">
      <w:bodyDiv w:val="1"/>
      <w:marLeft w:val="0"/>
      <w:marRight w:val="0"/>
      <w:marTop w:val="0"/>
      <w:marBottom w:val="0"/>
      <w:divBdr>
        <w:top w:val="none" w:sz="0" w:space="0" w:color="auto"/>
        <w:left w:val="none" w:sz="0" w:space="0" w:color="auto"/>
        <w:bottom w:val="none" w:sz="0" w:space="0" w:color="auto"/>
        <w:right w:val="none" w:sz="0" w:space="0" w:color="auto"/>
      </w:divBdr>
    </w:div>
    <w:div w:id="81343875">
      <w:bodyDiv w:val="1"/>
      <w:marLeft w:val="0"/>
      <w:marRight w:val="0"/>
      <w:marTop w:val="0"/>
      <w:marBottom w:val="0"/>
      <w:divBdr>
        <w:top w:val="none" w:sz="0" w:space="0" w:color="auto"/>
        <w:left w:val="none" w:sz="0" w:space="0" w:color="auto"/>
        <w:bottom w:val="none" w:sz="0" w:space="0" w:color="auto"/>
        <w:right w:val="none" w:sz="0" w:space="0" w:color="auto"/>
      </w:divBdr>
    </w:div>
    <w:div w:id="360083932">
      <w:bodyDiv w:val="1"/>
      <w:marLeft w:val="0"/>
      <w:marRight w:val="0"/>
      <w:marTop w:val="0"/>
      <w:marBottom w:val="0"/>
      <w:divBdr>
        <w:top w:val="none" w:sz="0" w:space="0" w:color="auto"/>
        <w:left w:val="none" w:sz="0" w:space="0" w:color="auto"/>
        <w:bottom w:val="none" w:sz="0" w:space="0" w:color="auto"/>
        <w:right w:val="none" w:sz="0" w:space="0" w:color="auto"/>
      </w:divBdr>
    </w:div>
    <w:div w:id="1061755520">
      <w:bodyDiv w:val="1"/>
      <w:marLeft w:val="0"/>
      <w:marRight w:val="0"/>
      <w:marTop w:val="0"/>
      <w:marBottom w:val="0"/>
      <w:divBdr>
        <w:top w:val="none" w:sz="0" w:space="0" w:color="auto"/>
        <w:left w:val="none" w:sz="0" w:space="0" w:color="auto"/>
        <w:bottom w:val="none" w:sz="0" w:space="0" w:color="auto"/>
        <w:right w:val="none" w:sz="0" w:space="0" w:color="auto"/>
      </w:divBdr>
    </w:div>
    <w:div w:id="1135832856">
      <w:bodyDiv w:val="1"/>
      <w:marLeft w:val="0"/>
      <w:marRight w:val="0"/>
      <w:marTop w:val="0"/>
      <w:marBottom w:val="0"/>
      <w:divBdr>
        <w:top w:val="none" w:sz="0" w:space="0" w:color="auto"/>
        <w:left w:val="none" w:sz="0" w:space="0" w:color="auto"/>
        <w:bottom w:val="none" w:sz="0" w:space="0" w:color="auto"/>
        <w:right w:val="none" w:sz="0" w:space="0" w:color="auto"/>
      </w:divBdr>
    </w:div>
    <w:div w:id="1623073608">
      <w:bodyDiv w:val="1"/>
      <w:marLeft w:val="0"/>
      <w:marRight w:val="0"/>
      <w:marTop w:val="0"/>
      <w:marBottom w:val="0"/>
      <w:divBdr>
        <w:top w:val="none" w:sz="0" w:space="0" w:color="auto"/>
        <w:left w:val="none" w:sz="0" w:space="0" w:color="auto"/>
        <w:bottom w:val="none" w:sz="0" w:space="0" w:color="auto"/>
        <w:right w:val="none" w:sz="0" w:space="0" w:color="auto"/>
      </w:divBdr>
    </w:div>
    <w:div w:id="1872301285">
      <w:bodyDiv w:val="1"/>
      <w:marLeft w:val="0"/>
      <w:marRight w:val="0"/>
      <w:marTop w:val="0"/>
      <w:marBottom w:val="0"/>
      <w:divBdr>
        <w:top w:val="none" w:sz="0" w:space="0" w:color="auto"/>
        <w:left w:val="none" w:sz="0" w:space="0" w:color="auto"/>
        <w:bottom w:val="none" w:sz="0" w:space="0" w:color="auto"/>
        <w:right w:val="none" w:sz="0" w:space="0" w:color="auto"/>
      </w:divBdr>
    </w:div>
    <w:div w:id="209866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cbd9e53e-6585-4f50-95a9-cc115a295e47" ContentTypeId="0x0101002703D2AF657F4CC69F3B5766777647D700D06115F784074B5E809F7B2D63EA2F2B007CC8D3DE76A54263AD44A5AABF561F5E" PreviousValue="tru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 ARENA-rom" ma:contentTypeID="0x0101002703D2AF657F4CC69F3B5766777647D700D06115F784074B5E809F7B2D63EA2F2B007CC8D3DE76A54263AD44A5AABF561F5E0023DCE3C188C0AA4BBFEF1E8D375762C9" ma:contentTypeVersion="61" ma:contentTypeDescription="Opprett et nytt dokument." ma:contentTypeScope="" ma:versionID="57179ec339bb1301db8362be408a2fb0">
  <xsd:schema xmlns:xsd="http://www.w3.org/2001/XMLSchema" xmlns:xs="http://www.w3.org/2001/XMLSchema" xmlns:p="http://schemas.microsoft.com/office/2006/metadata/properties" xmlns:ns2="1fcd92dd-7d74-4918-8c11-98baf3d8368d" targetNamespace="http://schemas.microsoft.com/office/2006/metadata/properties" ma:root="true" ma:fieldsID="d49800ce66c189d9c0ed212f5bd96690" ns2:_="">
    <xsd:import namespace="1fcd92dd-7d74-4918-8c11-98baf3d8368d"/>
    <xsd:element name="properties">
      <xsd:complexType>
        <xsd:sequence>
          <xsd:element name="documentManagement">
            <xsd:complexType>
              <xsd:all>
                <xsd:element ref="ns2:NHO_DocumentStatus"/>
                <xsd:element ref="ns2:NHO_DocumentProperty"/>
                <xsd:element ref="ns2:NHO_DocumentDate" minOccurs="0"/>
                <xsd:element ref="ns2:NHO_DocumentArchiveDate" minOccurs="0"/>
                <xsd:element ref="ns2:ARENA_DocumentReference" minOccurs="0"/>
                <xsd:element ref="ns2:ARENA_DocumentRecipient" minOccurs="0"/>
                <xsd:element ref="ns2:ARENA_DocumentSender" minOccurs="0"/>
                <xsd:element ref="ns2:crms_nhonr" minOccurs="0"/>
                <xsd:element ref="ns2:_dlc_DocId" minOccurs="0"/>
                <xsd:element ref="ns2:_dlc_DocIdUrl" minOccurs="0"/>
                <xsd:element ref="ns2:_dlc_DocIdPersistId" minOccurs="0"/>
                <xsd:element ref="ns2:TaxCatchAll" minOccurs="0"/>
                <xsd:element ref="ns2:TaxCatchAllLabel" minOccurs="0"/>
                <xsd:element ref="ns2:c33924c3673147c88830f2707c1978bc" minOccurs="0"/>
                <xsd:element ref="ns2:p8a47c7619634ae9930087b62d76e394"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d92dd-7d74-4918-8c11-98baf3d8368d" elementFormDefault="qualified">
    <xsd:import namespace="http://schemas.microsoft.com/office/2006/documentManagement/types"/>
    <xsd:import namespace="http://schemas.microsoft.com/office/infopath/2007/PartnerControls"/>
    <xsd:element name="NHO_DocumentStatus" ma:index="2" ma:displayName="Status" ma:default="Under behandling" ma:description="Status" ma:format="Dropdown" ma:internalName="NHO_DocumentStatus">
      <xsd:simpleType>
        <xsd:restriction base="dms:Choice">
          <xsd:enumeration value="Under behandling"/>
          <xsd:enumeration value="Til fordeling"/>
          <xsd:enumeration value="Arkivert"/>
        </xsd:restriction>
      </xsd:simpleType>
    </xsd:element>
    <xsd:element name="NHO_DocumentProperty" ma:index="3" ma:displayName="Inn/ut/internt" ma:default="Internt" ma:description="Inn/ut/internt" ma:format="Dropdown" ma:internalName="NHO_DocumentProperty">
      <xsd:simpleType>
        <xsd:restriction base="dms:Choice">
          <xsd:enumeration value="Internt"/>
          <xsd:enumeration value="Ut"/>
          <xsd:enumeration value="Inn"/>
        </xsd:restriction>
      </xsd:simpleType>
    </xsd:element>
    <xsd:element name="NHO_DocumentDate" ma:index="4" nillable="true" ma:displayName="Dokumentdato" ma:description="Dokumentdato" ma:format="DateOnly" ma:internalName="NHO_DocumentDate" ma:readOnly="false">
      <xsd:simpleType>
        <xsd:restriction base="dms:DateTime"/>
      </xsd:simpleType>
    </xsd:element>
    <xsd:element name="NHO_DocumentArchiveDate" ma:index="5" nillable="true" ma:displayName="Arkivdato" ma:format="DateTime" ma:hidden="true" ma:internalName="NHO_DocumentArchiveDate">
      <xsd:simpleType>
        <xsd:restriction base="dms:DateTime"/>
      </xsd:simpleType>
    </xsd:element>
    <xsd:element name="ARENA_DocumentReference" ma:index="9" nillable="true" ma:displayName="Deres referanse" ma:description="Deres referanse" ma:internalName="ARENA_DocumentReference">
      <xsd:simpleType>
        <xsd:restriction base="dms:Text"/>
      </xsd:simpleType>
    </xsd:element>
    <xsd:element name="ARENA_DocumentRecipient" ma:index="10" nillable="true" ma:displayName="Mottaker" ma:description="Mottaker" ma:internalName="ARENA_DocumentRecipient">
      <xsd:simpleType>
        <xsd:restriction base="dms:Text"/>
      </xsd:simpleType>
    </xsd:element>
    <xsd:element name="ARENA_DocumentSender" ma:index="11" nillable="true" ma:displayName="Avsender" ma:description="Avsender" ma:internalName="ARENA_DocumentSender">
      <xsd:simpleType>
        <xsd:restriction base="dms:Text"/>
      </xsd:simpleType>
    </xsd:element>
    <xsd:element name="crms_nhonr" ma:index="12" nillable="true" ma:displayName="NHO NR" ma:internalName="crms_nhonr">
      <xsd:simpleType>
        <xsd:restriction base="dms:Text"/>
      </xsd:simpleType>
    </xsd:element>
    <xsd:element name="_dlc_DocId" ma:index="15" nillable="true" ma:displayName="Dokument-ID-verdi" ma:description="Verdien for dokument-IDen som er tilordnet elementet." ma:internalName="_dlc_DocId" ma:readOnly="true">
      <xsd:simpleType>
        <xsd:restriction base="dms:Text"/>
      </xsd:simpleType>
    </xsd:element>
    <xsd:element name="_dlc_DocIdUrl" ma:index="16"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aa4cd1ed-27a5-4a02-b49a-9ce2141a4d7e}" ma:internalName="TaxCatchAll" ma:showField="CatchAllData"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aa4cd1ed-27a5-4a02-b49a-9ce2141a4d7e}" ma:internalName="TaxCatchAllLabel" ma:readOnly="true" ma:showField="CatchAllDataLabel"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c33924c3673147c88830f2707c1978bc" ma:index="21" nillable="true" ma:taxonomy="true" ma:internalName="c33924c3673147c88830f2707c1978bc" ma:taxonomyFieldName="NhoMmdCaseWorker" ma:displayName="Saksbehandler" ma:default="" ma:fieldId="{c33924c3-6731-47c8-8830-f2707c1978bc}" ma:sspId="23ae1762-dfb7-4954-b585-25db1d1094a4" ma:termSetId="bbd35930-3809-4f28-8ebd-605c947425f1" ma:anchorId="00000000-0000-0000-0000-000000000000" ma:open="false" ma:isKeyword="false">
      <xsd:complexType>
        <xsd:sequence>
          <xsd:element ref="pc:Terms" minOccurs="0" maxOccurs="1"/>
        </xsd:sequence>
      </xsd:complexType>
    </xsd:element>
    <xsd:element name="p8a47c7619634ae9930087b62d76e394" ma:index="23" nillable="true" ma:taxonomy="true" ma:internalName="p8a47c7619634ae9930087b62d76e394" ma:taxonomyFieldName="NHO_OrganisationUnit" ma:displayName="Organisasjonsenhet" ma:fieldId="{98a47c76-1963-4ae9-9300-87b62d76e394}" ma:sspId="23ae1762-dfb7-4954-b585-25db1d1094a4" ma:termSetId="110110fd-e430-4d4e-8550-74127a1a531f"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Organisasjonsnøkkelord" ma:fieldId="{23f27201-bee3-471e-b2e7-b64fd8b7ca38}" ma:taxonomyMulti="true" ma:sspId="23ae1762-dfb7-4954-b585-25db1d1094a4"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fcd92dd-7d74-4918-8c11-98baf3d8368d">
      <Value>1140</Value>
      <Value>325</Value>
    </TaxCatchAll>
    <_dlc_DocId xmlns="1fcd92dd-7d74-4918-8c11-98baf3d8368d">ARENA-608-18524</_dlc_DocId>
    <_dlc_DocIdUrl xmlns="1fcd92dd-7d74-4918-8c11-98baf3d8368d">
      <Url>https://arenarom.nho.no/rom/norog/_layouts/DocIdRedir.aspx?ID=ARENA-608-18524</Url>
      <Description>ARENA-608-18524</Description>
    </_dlc_DocIdUrl>
    <NHO_DocumentStatus xmlns="1fcd92dd-7d74-4918-8c11-98baf3d8368d">Under behandling</NHO_DocumentStatus>
    <c33924c3673147c88830f2707c1978bc xmlns="1fcd92dd-7d74-4918-8c11-98baf3d8368d">
      <Terms xmlns="http://schemas.microsoft.com/office/infopath/2007/PartnerControls">
        <TermInfo xmlns="http://schemas.microsoft.com/office/infopath/2007/PartnerControls">
          <TermName xmlns="http://schemas.microsoft.com/office/infopath/2007/PartnerControls">Irene Aasland</TermName>
          <TermId xmlns="http://schemas.microsoft.com/office/infopath/2007/PartnerControls">4f76faa4-138b-45aa-a07b-b0704c00cad3</TermId>
        </TermInfo>
      </Terms>
    </c33924c3673147c88830f2707c1978bc>
    <TaxKeywordTaxHTField xmlns="1fcd92dd-7d74-4918-8c11-98baf3d8368d">
      <Terms xmlns="http://schemas.microsoft.com/office/infopath/2007/PartnerControls"/>
    </TaxKeywordTaxHTField>
    <ARENA_DocumentReference xmlns="1fcd92dd-7d74-4918-8c11-98baf3d8368d" xsi:nil="true"/>
    <ARENA_DocumentRecipient xmlns="1fcd92dd-7d74-4918-8c11-98baf3d8368d" xsi:nil="true"/>
    <NHO_DocumentDate xmlns="1fcd92dd-7d74-4918-8c11-98baf3d8368d" xsi:nil="true"/>
    <NHO_DocumentArchiveDate xmlns="1fcd92dd-7d74-4918-8c11-98baf3d8368d" xsi:nil="true"/>
    <ARENA_DocumentSender xmlns="1fcd92dd-7d74-4918-8c11-98baf3d8368d" xsi:nil="true"/>
    <p8a47c7619634ae9930087b62d76e394 xmlns="1fcd92dd-7d74-4918-8c11-98baf3d8368d">
      <Terms xmlns="http://schemas.microsoft.com/office/infopath/2007/PartnerControls">
        <TermInfo xmlns="http://schemas.microsoft.com/office/infopath/2007/PartnerControls">
          <TermName xmlns="http://schemas.microsoft.com/office/infopath/2007/PartnerControls">Norsk olje og gass</TermName>
          <TermId xmlns="http://schemas.microsoft.com/office/infopath/2007/PartnerControls">cb1b13eb-8e47-4d30-9a54-b74a620ca936</TermId>
        </TermInfo>
      </Terms>
    </p8a47c7619634ae9930087b62d76e394>
    <NHO_DocumentProperty xmlns="1fcd92dd-7d74-4918-8c11-98baf3d8368d">Internt</NHO_DocumentProperty>
    <crms_nhonr xmlns="1fcd92dd-7d74-4918-8c11-98baf3d8368d"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F6A3F-F6DE-45E1-AA09-43346A0E880F}"/>
</file>

<file path=customXml/itemProps2.xml><?xml version="1.0" encoding="utf-8"?>
<ds:datastoreItem xmlns:ds="http://schemas.openxmlformats.org/officeDocument/2006/customXml" ds:itemID="{FA4897C2-4F61-497C-83FC-FFA9859F1BD6}"/>
</file>

<file path=customXml/itemProps3.xml><?xml version="1.0" encoding="utf-8"?>
<ds:datastoreItem xmlns:ds="http://schemas.openxmlformats.org/officeDocument/2006/customXml" ds:itemID="{48CD9B5D-9A3C-4A65-AA68-0D10DF01B04F}"/>
</file>

<file path=customXml/itemProps4.xml><?xml version="1.0" encoding="utf-8"?>
<ds:datastoreItem xmlns:ds="http://schemas.openxmlformats.org/officeDocument/2006/customXml" ds:itemID="{B2D1932B-5C09-4C28-AE59-4EB05EA5B855}"/>
</file>

<file path=customXml/itemProps5.xml><?xml version="1.0" encoding="utf-8"?>
<ds:datastoreItem xmlns:ds="http://schemas.openxmlformats.org/officeDocument/2006/customXml" ds:itemID="{B2E525DA-A997-4E94-AD1F-31903BE552B9}"/>
</file>

<file path=customXml/itemProps6.xml><?xml version="1.0" encoding="utf-8"?>
<ds:datastoreItem xmlns:ds="http://schemas.openxmlformats.org/officeDocument/2006/customXml" ds:itemID="{F0186C46-0F08-4CF1-8C0E-86801D789D59}"/>
</file>

<file path=docProps/app.xml><?xml version="1.0" encoding="utf-8"?>
<Properties xmlns="http://schemas.openxmlformats.org/officeDocument/2006/extended-properties" xmlns:vt="http://schemas.openxmlformats.org/officeDocument/2006/docPropsVTypes">
  <Template>Normal</Template>
  <TotalTime>0</TotalTime>
  <Pages>12</Pages>
  <Words>2343</Words>
  <Characters>12423</Characters>
  <Application>Microsoft Office Word</Application>
  <DocSecurity>0</DocSecurity>
  <Lines>103</Lines>
  <Paragraphs>29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Proximity Agreements - Pipeline Crossing Agreements Miniguide - NCS - English version</vt:lpstr>
      <vt:lpstr>Proximity Agreements - Pipeline Crossing Agreements Miniguide - NCS - English version</vt:lpstr>
    </vt:vector>
  </TitlesOfParts>
  <Company>Statoil ASA</Company>
  <LinksUpToDate>false</LinksUpToDate>
  <CharactersWithSpaces>14737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Proximity Agreements - Pipeline Crossing Agreements Miniguide - NCS - English version</dc:title>
  <dc:creator>Marte Røv</dc:creator>
  <cp:lastModifiedBy>Oluf Bjørndal</cp:lastModifiedBy>
  <cp:revision>2</cp:revision>
  <dcterms:created xsi:type="dcterms:W3CDTF">2016-05-24T13:16:00Z</dcterms:created>
  <dcterms:modified xsi:type="dcterms:W3CDTF">2016-05-24T13:16:00Z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0x0101002703D2AF657F4CC69F3B5766777647D700D06115F784074B5E809F7B2D63EA2F2B007CC8D3DE76A54263AD44A5AABF561F5E0023DCE3C188C0AA4BBFEF1E8D375762C9</vt:lpwstr>
  </property>
  <property fmtid="{D5CDD505-2E9C-101B-9397-08002B2CF9AE}" pid="4" name="_dlc_policyId">
    <vt:lpwstr>0x010100F7AC974578254811A4E2A32DB0F95ACD0B|-1289614699</vt:lpwstr>
  </property>
  <property fmtid="{D5CDD505-2E9C-101B-9397-08002B2CF9AE}" pid="5" name="ItemRetentionFormula">
    <vt:lpwstr>&lt;formula id="Status Sent to archive" /&gt;</vt:lpwstr>
  </property>
  <property fmtid="{D5CDD505-2E9C-101B-9397-08002B2CF9AE}" pid="6" name="Organisation">
    <vt:lpwstr>2</vt:lpwstr>
  </property>
  <property fmtid="{D5CDD505-2E9C-101B-9397-08002B2CF9AE}" pid="7" name="Process">
    <vt:lpwstr>3</vt:lpwstr>
  </property>
  <property fmtid="{D5CDD505-2E9C-101B-9397-08002B2CF9AE}" pid="8" name="SecurityClassification">
    <vt:lpwstr>4</vt:lpwstr>
  </property>
  <property fmtid="{D5CDD505-2E9C-101B-9397-08002B2CF9AE}" pid="9" name="_dlc_DocIdItemGuid">
    <vt:lpwstr>2a25b04a-e711-4c59-ae49-67fe308897ed</vt:lpwstr>
  </property>
  <property fmtid="{D5CDD505-2E9C-101B-9397-08002B2CF9AE}" pid="10" name="NhoMmdCaseWorker">
    <vt:lpwstr>325;#Irene Aasland|4f76faa4-138b-45aa-a07b-b0704c00cad3</vt:lpwstr>
  </property>
  <property fmtid="{D5CDD505-2E9C-101B-9397-08002B2CF9AE}" pid="11" name="NHO_OrganisationUnit">
    <vt:lpwstr>1140;#Norsk olje og gass|cb1b13eb-8e47-4d30-9a54-b74a620ca936</vt:lpwstr>
  </property>
  <property fmtid="{D5CDD505-2E9C-101B-9397-08002B2CF9AE}" pid="12" name="TaxKeyword">
    <vt:lpwstr/>
  </property>
</Properties>
</file>